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3922"/>
      </w:tblGrid>
      <w:tr w:rsidR="00375CC2" w:rsidRPr="00157644" w14:paraId="0FA527A5" w14:textId="77777777" w:rsidTr="000749AC">
        <w:trPr>
          <w:trHeight w:val="1418"/>
          <w:jc w:val="center"/>
        </w:trPr>
        <w:tc>
          <w:tcPr>
            <w:tcW w:w="4720" w:type="dxa"/>
          </w:tcPr>
          <w:p w14:paraId="4E91641A" w14:textId="77777777" w:rsidR="00375CC2" w:rsidRPr="00157644" w:rsidRDefault="00375CC2" w:rsidP="006910DC">
            <w:pPr>
              <w:pStyle w:val="Titre1"/>
              <w:spacing w:before="0"/>
              <w:outlineLvl w:val="0"/>
            </w:pPr>
            <w:bookmarkStart w:id="0" w:name="_GoBack"/>
            <w:bookmarkEnd w:id="0"/>
            <w:r w:rsidRPr="00157644">
              <w:rPr>
                <w:noProof/>
                <w:lang w:eastAsia="fr-FR"/>
              </w:rPr>
              <w:drawing>
                <wp:inline distT="0" distB="0" distL="0" distR="0" wp14:anchorId="12B2A5EF" wp14:editId="6A946ACF">
                  <wp:extent cx="1580087" cy="658368"/>
                  <wp:effectExtent l="19050" t="0" r="1063" b="0"/>
                  <wp:docPr id="2" name="Image 2" descr="Logo CAP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PEB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46" cy="65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tcBorders>
              <w:left w:val="nil"/>
            </w:tcBorders>
          </w:tcPr>
          <w:p w14:paraId="3ABA142F" w14:textId="77777777" w:rsidR="00375CC2" w:rsidRPr="00157644" w:rsidRDefault="00375CC2" w:rsidP="006910DC">
            <w:pPr>
              <w:pStyle w:val="Titre1"/>
              <w:spacing w:before="0"/>
              <w:jc w:val="right"/>
              <w:outlineLvl w:val="0"/>
            </w:pPr>
            <w:r w:rsidRPr="00157644">
              <w:rPr>
                <w:noProof/>
                <w:lang w:eastAsia="fr-FR"/>
              </w:rPr>
              <w:drawing>
                <wp:inline distT="0" distB="0" distL="0" distR="0" wp14:anchorId="5AD26EC0" wp14:editId="2A07B982">
                  <wp:extent cx="1665938" cy="713617"/>
                  <wp:effectExtent l="0" t="0" r="0" b="0"/>
                  <wp:docPr id="3" name="Image 3" descr="Résultat de recherche d'images pour &quot;ed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d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07" cy="73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CC2" w:rsidRPr="00157644" w14:paraId="16A23D12" w14:textId="77777777" w:rsidTr="000749AC">
        <w:trPr>
          <w:jc w:val="center"/>
        </w:trPr>
        <w:tc>
          <w:tcPr>
            <w:tcW w:w="8867" w:type="dxa"/>
            <w:gridSpan w:val="2"/>
          </w:tcPr>
          <w:p w14:paraId="0FC17E3C" w14:textId="5DDD53AB" w:rsidR="003F766F" w:rsidRPr="00157644" w:rsidRDefault="003F766F" w:rsidP="001964BE">
            <w:pPr>
              <w:jc w:val="center"/>
              <w:rPr>
                <w:rFonts w:ascii="Trebuchet MS" w:hAnsi="Trebuchet MS"/>
                <w:iCs/>
                <w:sz w:val="20"/>
                <w:szCs w:val="20"/>
                <w:u w:val="single"/>
                <w:lang w:val="fr-FR"/>
              </w:rPr>
            </w:pPr>
          </w:p>
          <w:p w14:paraId="4DEE8CE1" w14:textId="32C1E0A7" w:rsidR="00375CC2" w:rsidRPr="00157644" w:rsidRDefault="00375CC2" w:rsidP="00F50252">
            <w:pPr>
              <w:rPr>
                <w:rFonts w:ascii="Trebuchet MS" w:hAnsi="Trebuchet MS"/>
                <w:b/>
                <w:sz w:val="20"/>
                <w:szCs w:val="20"/>
                <w:lang w:val="fr-FR"/>
              </w:rPr>
            </w:pPr>
            <w:r w:rsidRPr="00157644">
              <w:rPr>
                <w:rFonts w:ascii="Trebuchet MS" w:hAnsi="Trebuchet MS"/>
                <w:b/>
                <w:iCs/>
                <w:sz w:val="20"/>
                <w:szCs w:val="20"/>
                <w:u w:val="single"/>
                <w:lang w:val="fr-FR"/>
              </w:rPr>
              <w:t xml:space="preserve">Communiqué de presse du </w:t>
            </w:r>
            <w:r w:rsidR="00896BE8" w:rsidRPr="00157644">
              <w:rPr>
                <w:rFonts w:ascii="Trebuchet MS" w:hAnsi="Trebuchet MS"/>
                <w:b/>
                <w:iCs/>
                <w:sz w:val="20"/>
                <w:szCs w:val="20"/>
                <w:u w:val="single"/>
                <w:lang w:val="fr-FR"/>
              </w:rPr>
              <w:t>1</w:t>
            </w:r>
            <w:r w:rsidR="0020404D" w:rsidRPr="00157644">
              <w:rPr>
                <w:rFonts w:ascii="Trebuchet MS" w:hAnsi="Trebuchet MS"/>
                <w:b/>
                <w:iCs/>
                <w:sz w:val="20"/>
                <w:szCs w:val="20"/>
                <w:u w:val="single"/>
                <w:lang w:val="fr-FR"/>
              </w:rPr>
              <w:t>2</w:t>
            </w:r>
            <w:r w:rsidR="00896BE8" w:rsidRPr="00157644">
              <w:rPr>
                <w:rFonts w:ascii="Trebuchet MS" w:hAnsi="Trebuchet MS"/>
                <w:b/>
                <w:iCs/>
                <w:sz w:val="20"/>
                <w:szCs w:val="20"/>
                <w:u w:val="single"/>
                <w:lang w:val="fr-FR"/>
              </w:rPr>
              <w:t xml:space="preserve"> mars</w:t>
            </w:r>
            <w:r w:rsidRPr="00157644">
              <w:rPr>
                <w:rFonts w:ascii="Trebuchet MS" w:hAnsi="Trebuchet MS"/>
                <w:b/>
                <w:iCs/>
                <w:sz w:val="20"/>
                <w:szCs w:val="20"/>
                <w:u w:val="single"/>
                <w:lang w:val="fr-FR"/>
              </w:rPr>
              <w:t xml:space="preserve"> 2018</w:t>
            </w:r>
          </w:p>
          <w:p w14:paraId="6B328E76" w14:textId="0564765D" w:rsidR="00375CC2" w:rsidRPr="00157644" w:rsidRDefault="00375CC2" w:rsidP="00157644">
            <w:pPr>
              <w:spacing w:after="120"/>
              <w:jc w:val="both"/>
              <w:rPr>
                <w:rFonts w:ascii="Trebuchet MS" w:hAnsi="Trebuchet MS"/>
                <w:iCs/>
                <w:sz w:val="20"/>
                <w:szCs w:val="20"/>
                <w:lang w:val="fr-FR"/>
              </w:rPr>
            </w:pPr>
            <w:r w:rsidRPr="00157644">
              <w:rPr>
                <w:rFonts w:ascii="Trebuchet MS" w:hAnsi="Trebuchet MS"/>
                <w:iCs/>
                <w:sz w:val="20"/>
                <w:szCs w:val="20"/>
                <w:lang w:val="fr-FR"/>
              </w:rPr>
              <w:t>#Artisanat / #Bâtiment / #Partenariat / #CEE / #</w:t>
            </w:r>
            <w:proofErr w:type="spellStart"/>
            <w:r w:rsidRPr="00157644">
              <w:rPr>
                <w:rFonts w:ascii="Trebuchet MS" w:hAnsi="Trebuchet MS"/>
                <w:iCs/>
                <w:sz w:val="20"/>
                <w:szCs w:val="20"/>
                <w:lang w:val="fr-FR"/>
              </w:rPr>
              <w:t>TransitionEcologique</w:t>
            </w:r>
            <w:proofErr w:type="spellEnd"/>
            <w:r w:rsidRPr="00157644">
              <w:rPr>
                <w:rFonts w:ascii="Trebuchet MS" w:hAnsi="Trebuchet MS"/>
                <w:iCs/>
                <w:sz w:val="20"/>
                <w:szCs w:val="20"/>
                <w:lang w:val="fr-FR"/>
              </w:rPr>
              <w:t xml:space="preserve"> / #</w:t>
            </w:r>
            <w:proofErr w:type="spellStart"/>
            <w:r w:rsidRPr="00157644">
              <w:rPr>
                <w:rFonts w:ascii="Trebuchet MS" w:hAnsi="Trebuchet MS"/>
                <w:iCs/>
                <w:sz w:val="20"/>
                <w:szCs w:val="20"/>
                <w:lang w:val="fr-FR"/>
              </w:rPr>
              <w:t>PrimeEnergie</w:t>
            </w:r>
            <w:proofErr w:type="spellEnd"/>
            <w:r w:rsidR="00F50252" w:rsidRPr="00157644">
              <w:rPr>
                <w:rFonts w:ascii="Trebuchet MS" w:hAnsi="Trebuchet MS"/>
                <w:iCs/>
                <w:sz w:val="20"/>
                <w:szCs w:val="20"/>
                <w:lang w:val="fr-FR"/>
              </w:rPr>
              <w:t xml:space="preserve"> /</w:t>
            </w:r>
            <w:r w:rsidRPr="00157644">
              <w:rPr>
                <w:rFonts w:ascii="Trebuchet MS" w:hAnsi="Trebuchet MS"/>
                <w:iCs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Pr="00157644">
                <w:rPr>
                  <w:rStyle w:val="Lienhypertexte"/>
                  <w:rFonts w:ascii="Trebuchet MS" w:hAnsi="Trebuchet MS"/>
                  <w:iCs/>
                  <w:sz w:val="20"/>
                  <w:szCs w:val="20"/>
                  <w:lang w:val="fr-FR"/>
                </w:rPr>
                <w:t>@</w:t>
              </w:r>
              <w:proofErr w:type="spellStart"/>
              <w:r w:rsidRPr="00157644">
                <w:rPr>
                  <w:rStyle w:val="Lienhypertexte"/>
                  <w:rFonts w:ascii="Trebuchet MS" w:hAnsi="Trebuchet MS"/>
                  <w:iCs/>
                  <w:sz w:val="20"/>
                  <w:szCs w:val="20"/>
                  <w:lang w:val="fr-FR"/>
                </w:rPr>
                <w:t>EDFofficiel</w:t>
              </w:r>
              <w:proofErr w:type="spellEnd"/>
            </w:hyperlink>
          </w:p>
          <w:p w14:paraId="5859C257" w14:textId="77777777" w:rsidR="00157644" w:rsidRPr="00157644" w:rsidRDefault="00157644" w:rsidP="00157644">
            <w:pPr>
              <w:spacing w:after="120"/>
              <w:jc w:val="both"/>
              <w:rPr>
                <w:rFonts w:ascii="Trebuchet MS" w:hAnsi="Trebuchet MS"/>
                <w:iCs/>
                <w:sz w:val="20"/>
                <w:szCs w:val="20"/>
                <w:lang w:val="fr-FR"/>
              </w:rPr>
            </w:pPr>
          </w:p>
          <w:p w14:paraId="0D903C3B" w14:textId="74954554" w:rsidR="00375CC2" w:rsidRPr="00157644" w:rsidRDefault="006D3FEE" w:rsidP="006910DC">
            <w:pPr>
              <w:spacing w:after="120"/>
              <w:jc w:val="center"/>
              <w:rPr>
                <w:rFonts w:ascii="Trebuchet MS" w:hAnsi="Trebuchet MS"/>
                <w:b/>
                <w:bCs/>
                <w:color w:val="C00000"/>
                <w:sz w:val="40"/>
                <w:szCs w:val="38"/>
                <w:lang w:val="fr-FR"/>
              </w:rPr>
            </w:pPr>
            <w:r w:rsidRPr="00157644">
              <w:rPr>
                <w:rFonts w:ascii="Trebuchet MS" w:hAnsi="Trebuchet MS"/>
                <w:b/>
                <w:bCs/>
                <w:color w:val="C00000"/>
                <w:sz w:val="40"/>
                <w:szCs w:val="38"/>
                <w:lang w:val="fr-FR"/>
              </w:rPr>
              <w:t>L</w:t>
            </w:r>
            <w:r w:rsidR="00375CC2" w:rsidRPr="00157644">
              <w:rPr>
                <w:rFonts w:ascii="Trebuchet MS" w:hAnsi="Trebuchet MS"/>
                <w:b/>
                <w:bCs/>
                <w:color w:val="C00000"/>
                <w:sz w:val="40"/>
                <w:szCs w:val="38"/>
                <w:lang w:val="fr-FR"/>
              </w:rPr>
              <w:t>a CAPEB et EDF s’associent pour réduire les dépenses énergétiques des Français</w:t>
            </w:r>
            <w:r w:rsidR="00CE1086" w:rsidRPr="00157644">
              <w:rPr>
                <w:rFonts w:ascii="Trebuchet MS" w:hAnsi="Trebuchet MS"/>
                <w:b/>
                <w:bCs/>
                <w:color w:val="C00000"/>
                <w:sz w:val="40"/>
                <w:szCs w:val="38"/>
                <w:lang w:val="fr-FR"/>
              </w:rPr>
              <w:t xml:space="preserve"> </w:t>
            </w:r>
          </w:p>
          <w:p w14:paraId="7163648B" w14:textId="77777777" w:rsidR="00375CC2" w:rsidRPr="00157644" w:rsidRDefault="00375CC2" w:rsidP="006910DC">
            <w:pPr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0D1522C8" w14:textId="610429D0" w:rsidR="00375CC2" w:rsidRPr="00157644" w:rsidRDefault="00326438" w:rsidP="006910DC">
            <w:pPr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fr-FR"/>
              </w:rPr>
            </w:pPr>
            <w:r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Dans le cadre du dispositif des Certificats d’Economies d’Energie</w:t>
            </w:r>
            <w:r w:rsidR="00FF0DD4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s (CEE) </w:t>
            </w:r>
            <w:r w:rsidR="00F50252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instauré</w:t>
            </w:r>
            <w:r w:rsidR="00FF0DD4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par l’Etat en 2005</w:t>
            </w:r>
            <w:r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, l</w:t>
            </w:r>
            <w:r w:rsidR="00375CC2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a Confédération de l’Artisanat et des Petites Entreprises du Bâtiment (</w:t>
            </w:r>
            <w:hyperlink r:id="rId8" w:history="1">
              <w:r w:rsidR="00375CC2" w:rsidRPr="00157644">
                <w:rPr>
                  <w:rStyle w:val="Lienhypertexte"/>
                  <w:rFonts w:ascii="Trebuchet MS" w:hAnsi="Trebuchet MS"/>
                  <w:b/>
                  <w:bCs/>
                  <w:sz w:val="20"/>
                  <w:szCs w:val="20"/>
                  <w:lang w:val="fr-FR"/>
                </w:rPr>
                <w:t>CAPEB</w:t>
              </w:r>
            </w:hyperlink>
            <w:r w:rsidR="00375CC2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) et EDF </w:t>
            </w:r>
            <w:r w:rsidR="00734291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lancent </w:t>
            </w:r>
            <w:r w:rsidR="00375CC2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aujourd’hui un partenariat pour </w:t>
            </w:r>
            <w:r w:rsidR="00CE1086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promouvoir</w:t>
            </w:r>
            <w:r w:rsidR="00375CC2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CE1086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le</w:t>
            </w:r>
            <w:r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dispositif</w:t>
            </w:r>
            <w:r w:rsidR="00E60BAA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="00E60BAA" w:rsidRPr="00157644">
                <w:rPr>
                  <w:rStyle w:val="Lienhypertexte"/>
                  <w:rFonts w:ascii="Trebuchet MS" w:hAnsi="Trebuchet MS"/>
                  <w:b/>
                  <w:bCs/>
                  <w:sz w:val="20"/>
                  <w:szCs w:val="20"/>
                  <w:lang w:val="fr-FR"/>
                </w:rPr>
                <w:t>Prime Energie EDF</w:t>
              </w:r>
            </w:hyperlink>
            <w:r w:rsidR="00E031AC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.</w:t>
            </w:r>
            <w:r w:rsidR="008F3412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6D3FEE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L’o</w:t>
            </w:r>
            <w:r w:rsidR="0055371D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bjectif </w:t>
            </w:r>
            <w:r w:rsidR="006D3FEE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est de</w:t>
            </w:r>
            <w:r w:rsidR="006C241A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786147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réduire la </w:t>
            </w:r>
            <w:r w:rsidR="00E031AC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fa</w:t>
            </w:r>
            <w:r w:rsidR="00786147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cture d’</w:t>
            </w:r>
            <w:r w:rsidR="00285181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énergi</w:t>
            </w:r>
            <w:r w:rsidR="00786147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e </w:t>
            </w:r>
            <w:r w:rsidR="0020404D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des ménages </w:t>
            </w:r>
            <w:r w:rsidR="0055371D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et participer</w:t>
            </w:r>
            <w:r w:rsidR="00747A4B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0326E7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à la protection de l’environnement</w:t>
            </w:r>
            <w:r w:rsidR="00F50252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55371D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avec </w:t>
            </w:r>
            <w:r w:rsidR="00F50252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la mise en place d’une</w:t>
            </w:r>
            <w:r w:rsidR="0020404D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aide financière pour les travaux de rénovation énergétique de leur logement</w:t>
            </w:r>
            <w:r w:rsidR="000D1708"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</w:p>
          <w:p w14:paraId="7EE416EA" w14:textId="49EA89DC" w:rsidR="00375CC2" w:rsidRPr="00157644" w:rsidRDefault="00375CC2" w:rsidP="006910DC">
            <w:pPr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45B7871A" w14:textId="016F04C8" w:rsidR="00157644" w:rsidRPr="00157644" w:rsidRDefault="00157644" w:rsidP="0015764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  <w:r w:rsidRPr="00157644">
              <w:rPr>
                <w:rFonts w:ascii="Trebuchet MS" w:hAnsi="Trebuchet MS"/>
                <w:bCs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 wp14:anchorId="1B171C17" wp14:editId="5C96FFBB">
                  <wp:extent cx="2640743" cy="2136775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122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406" cy="214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6F321" w14:textId="66054640" w:rsidR="00157644" w:rsidRPr="00157644" w:rsidRDefault="00157644" w:rsidP="00157644">
            <w:pPr>
              <w:jc w:val="center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  <w:r w:rsidRPr="00157644">
              <w:rPr>
                <w:rFonts w:ascii="Trebuchet MS" w:hAnsi="Trebuchet MS" w:cs="Tahoma"/>
                <w:bCs/>
                <w:sz w:val="20"/>
                <w:szCs w:val="20"/>
                <w:lang w:val="fr-FR"/>
              </w:rPr>
              <w:t xml:space="preserve">Pour télécharger la photo, cliquer </w:t>
            </w:r>
            <w:hyperlink r:id="rId11" w:history="1">
              <w:r w:rsidRPr="00157644">
                <w:rPr>
                  <w:rStyle w:val="Lienhypertexte"/>
                  <w:rFonts w:ascii="Trebuchet MS" w:hAnsi="Trebuchet MS" w:cs="Tahoma"/>
                  <w:sz w:val="20"/>
                  <w:szCs w:val="20"/>
                  <w:lang w:val="fr-FR"/>
                </w:rPr>
                <w:t>ici</w:t>
              </w:r>
            </w:hyperlink>
            <w:r w:rsidRPr="00157644">
              <w:rPr>
                <w:rFonts w:ascii="Trebuchet MS" w:hAnsi="Trebuchet MS" w:cs="Tahoma"/>
                <w:bCs/>
                <w:sz w:val="20"/>
                <w:szCs w:val="20"/>
                <w:lang w:val="fr-FR"/>
              </w:rPr>
              <w:t>.</w:t>
            </w:r>
            <w:r w:rsidRPr="00157644">
              <w:rPr>
                <w:rFonts w:ascii="Trebuchet MS" w:hAnsi="Trebuchet MS" w:cs="Tahoma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57644">
              <w:rPr>
                <w:rFonts w:ascii="Trebuchet MS" w:hAnsi="Trebuchet MS" w:cs="Tahoma"/>
                <w:bCs/>
                <w:sz w:val="20"/>
                <w:szCs w:val="20"/>
                <w:lang w:val="fr-FR"/>
              </w:rPr>
              <w:t>© CAPEB</w:t>
            </w:r>
          </w:p>
          <w:p w14:paraId="0F4FFB0F" w14:textId="77777777" w:rsidR="00375CC2" w:rsidRPr="00157644" w:rsidRDefault="00375CC2" w:rsidP="006910DC">
            <w:pPr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257E44E5" w14:textId="0B7D892E" w:rsidR="00375CC2" w:rsidRPr="00157644" w:rsidRDefault="00835753" w:rsidP="006910DC">
            <w:pPr>
              <w:jc w:val="both"/>
              <w:rPr>
                <w:rFonts w:ascii="Trebuchet MS" w:hAnsi="Trebuchet MS"/>
                <w:b/>
                <w:bCs/>
                <w:color w:val="C00000"/>
                <w:lang w:val="fr-FR"/>
              </w:rPr>
            </w:pPr>
            <w:r w:rsidRPr="00157644">
              <w:rPr>
                <w:rFonts w:ascii="Trebuchet MS" w:hAnsi="Trebuchet MS"/>
                <w:b/>
                <w:bCs/>
                <w:color w:val="C00000"/>
                <w:lang w:val="fr-FR"/>
              </w:rPr>
              <w:t>Une prime</w:t>
            </w:r>
            <w:r w:rsidR="000D1708" w:rsidRPr="00157644">
              <w:rPr>
                <w:rFonts w:ascii="Trebuchet MS" w:hAnsi="Trebuchet MS"/>
                <w:b/>
                <w:bCs/>
                <w:color w:val="C00000"/>
                <w:lang w:val="fr-FR"/>
              </w:rPr>
              <w:t xml:space="preserve"> pour accompagner les particuliers dans leurs travaux de rénovation énergétique </w:t>
            </w:r>
          </w:p>
          <w:p w14:paraId="5A630EBA" w14:textId="77777777" w:rsidR="000D1708" w:rsidRPr="00157644" w:rsidRDefault="000D1708" w:rsidP="006910DC">
            <w:pPr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7825C600" w14:textId="342453C5" w:rsidR="00375CC2" w:rsidRPr="00157644" w:rsidRDefault="00375CC2" w:rsidP="006910DC">
            <w:pPr>
              <w:jc w:val="both"/>
              <w:rPr>
                <w:rFonts w:ascii="Trebuchet MS" w:eastAsia="Times New Roman" w:hAnsi="Trebuchet MS" w:cs="Times New Roman"/>
                <w:bCs/>
                <w:color w:val="000000"/>
                <w:sz w:val="20"/>
                <w:szCs w:val="20"/>
                <w:lang w:val="fr-FR"/>
              </w:rPr>
            </w:pPr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Patrick </w:t>
            </w:r>
            <w:proofErr w:type="spellStart"/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Liébus</w:t>
            </w:r>
            <w:proofErr w:type="spellEnd"/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, Président de la Confédération de l’Artisanat et des Petites Entreprises du Bâtiment (CAPEB), via sa filiale Béranger Développement, et</w:t>
            </w:r>
            <w:r w:rsidR="000D1708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Fabrice </w:t>
            </w:r>
            <w:proofErr w:type="spellStart"/>
            <w:r w:rsidR="000D1708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Gourdellier</w:t>
            </w:r>
            <w:proofErr w:type="spellEnd"/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, </w:t>
            </w:r>
            <w:r w:rsidR="000D1708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Directeur du Marché des Clients Particuliers d’EDF</w:t>
            </w:r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, </w:t>
            </w:r>
            <w:r w:rsidR="00D87ED4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lancent </w:t>
            </w:r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aujourd’hui un partenariat en fav</w:t>
            </w:r>
            <w:r w:rsidR="00FF0DD4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eur de la transition écologique</w:t>
            </w:r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.</w:t>
            </w:r>
            <w:r w:rsidR="00FF0DD4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Cette nouvelle collaboration est initiée dans le cadre des CEE</w:t>
            </w:r>
            <w:r w:rsidR="0020404D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, attribuant aux</w:t>
            </w:r>
            <w:r w:rsidR="00FF0DD4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fournisseurs d’</w:t>
            </w:r>
            <w:r w:rsidR="00E60BAA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énergie</w:t>
            </w:r>
            <w:r w:rsidR="0020404D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la mission </w:t>
            </w:r>
            <w:r w:rsidR="00FF0DD4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de promouvoir activement l’efficacité énerg</w:t>
            </w:r>
            <w:r w:rsidR="00E60BAA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étique auprès des consommateurs. </w:t>
            </w:r>
          </w:p>
          <w:p w14:paraId="24BACD01" w14:textId="2D576174" w:rsidR="009A7F3B" w:rsidRPr="00157644" w:rsidRDefault="009A7F3B" w:rsidP="006910DC">
            <w:pPr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2B303309" w14:textId="40850677" w:rsidR="00375CC2" w:rsidRPr="00157644" w:rsidRDefault="006D05E1" w:rsidP="006910DC">
            <w:pPr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Dans le cadre de ce partenariat, l</w:t>
            </w:r>
            <w:r w:rsidR="009A7F3B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a CAPEB s’engage à présenter la Prime Energie EDF auprès </w:t>
            </w:r>
            <w:r w:rsidR="00E42DD3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de</w:t>
            </w:r>
            <w:r w:rsidR="0020404D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s chefs d’entreprises artisanales du bâtiment</w:t>
            </w:r>
            <w:r w:rsidR="00E42DD3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20404D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à travers </w:t>
            </w:r>
            <w:r w:rsidR="00E42DD3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l’ensemble d</w:t>
            </w:r>
            <w:r w:rsidR="0020404D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e son</w:t>
            </w:r>
            <w:r w:rsidR="00E42DD3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réseau</w:t>
            </w:r>
            <w:r w:rsidR="0020404D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sur le territoire national</w:t>
            </w:r>
            <w:r w:rsidR="00E42DD3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EDF propose en effet aux ménages </w:t>
            </w:r>
            <w:r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une valorisation de leurs travaux d’amélioration de la performance énergétique de leur logement</w:t>
            </w:r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via la </w:t>
            </w:r>
            <w:hyperlink r:id="rId12" w:history="1">
              <w:r w:rsidRPr="00157644">
                <w:rPr>
                  <w:rStyle w:val="Lienhypertexte"/>
                  <w:rFonts w:ascii="Trebuchet MS" w:hAnsi="Trebuchet MS"/>
                  <w:b/>
                  <w:bCs/>
                  <w:sz w:val="20"/>
                  <w:szCs w:val="20"/>
                  <w:lang w:val="fr-FR"/>
                </w:rPr>
                <w:t>Prime Energie EDF</w:t>
              </w:r>
            </w:hyperlink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. </w:t>
            </w:r>
            <w:r w:rsidR="0020404D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L</w:t>
            </w:r>
            <w:r w:rsidR="00E42DD3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es professionnels du Bâtiment </w:t>
            </w:r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pourront alors valoriser</w:t>
            </w:r>
            <w:r w:rsidR="0020404D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cette</w:t>
            </w:r>
            <w:r w:rsidR="002F09FF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aide financière auprès de leurs clients, </w:t>
            </w:r>
            <w:r w:rsidR="00472A15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en attirant leur attention sur l</w:t>
            </w:r>
            <w:r w:rsidR="0020404D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es</w:t>
            </w:r>
            <w:r w:rsidR="002F09FF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mesures particulières pour les ménages en situation de précarité</w:t>
            </w:r>
            <w:r w:rsidR="00BE3626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énergétique</w:t>
            </w:r>
            <w:r w:rsidR="00CC3906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,</w:t>
            </w:r>
            <w:r w:rsidR="0028188C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pouvan</w:t>
            </w:r>
            <w:r w:rsidR="008F3412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t</w:t>
            </w:r>
            <w:r w:rsidR="0028188C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bénéficier d’un </w:t>
            </w:r>
            <w:hyperlink r:id="rId13" w:history="1">
              <w:r w:rsidR="0028188C" w:rsidRPr="00157644">
                <w:rPr>
                  <w:rStyle w:val="Lienhypertexte"/>
                  <w:rFonts w:ascii="Trebuchet MS" w:hAnsi="Trebuchet MS"/>
                  <w:bCs/>
                  <w:sz w:val="20"/>
                  <w:szCs w:val="20"/>
                  <w:lang w:val="fr-FR"/>
                </w:rPr>
                <w:t>bonus de la prime énergie</w:t>
              </w:r>
              <w:r w:rsidR="00D87ED4" w:rsidRPr="00157644">
                <w:rPr>
                  <w:rStyle w:val="Lienhypertexte"/>
                  <w:rFonts w:ascii="Trebuchet MS" w:hAnsi="Trebuchet MS"/>
                  <w:bCs/>
                  <w:sz w:val="20"/>
                  <w:szCs w:val="20"/>
                  <w:lang w:val="fr-FR"/>
                </w:rPr>
                <w:t xml:space="preserve"> </w:t>
              </w:r>
              <w:r w:rsidR="0028188C" w:rsidRPr="00157644">
                <w:rPr>
                  <w:rStyle w:val="Lienhypertexte"/>
                  <w:rFonts w:ascii="Trebuchet MS" w:hAnsi="Trebuchet MS"/>
                  <w:bCs/>
                  <w:sz w:val="20"/>
                  <w:szCs w:val="20"/>
                  <w:lang w:val="fr-FR"/>
                </w:rPr>
                <w:lastRenderedPageBreak/>
                <w:t>EDF</w:t>
              </w:r>
            </w:hyperlink>
            <w:r w:rsidR="0028188C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.</w:t>
            </w:r>
            <w:r w:rsidR="00D87ED4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BE3626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De plus, les artisans adhérents au partenariat pourront propose</w:t>
            </w:r>
            <w:r w:rsidR="00101892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r</w:t>
            </w:r>
            <w:r w:rsidR="00BE3626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 xml:space="preserve"> à leurs clients des solutions de financement avec </w:t>
            </w:r>
            <w:proofErr w:type="spellStart"/>
            <w:r w:rsidR="00BE3626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Domofinance</w:t>
            </w:r>
            <w:proofErr w:type="spellEnd"/>
            <w:r w:rsidR="00BE3626"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, le partenaire financier d’EDF.</w:t>
            </w:r>
          </w:p>
          <w:p w14:paraId="27A6F85E" w14:textId="038C7BF7" w:rsidR="00734291" w:rsidRPr="00157644" w:rsidRDefault="00E42DD3" w:rsidP="00157644">
            <w:pPr>
              <w:ind w:left="601"/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</w:pPr>
            <w:r w:rsidRPr="00157644">
              <w:rPr>
                <w:rFonts w:ascii="Trebuchet MS" w:hAnsi="Trebuchet MS"/>
                <w:bCs/>
                <w:sz w:val="20"/>
                <w:szCs w:val="20"/>
                <w:lang w:val="fr-FR"/>
              </w:rPr>
              <w:t xml:space="preserve"> </w:t>
            </w:r>
          </w:p>
          <w:p w14:paraId="14944EE1" w14:textId="6E86B958" w:rsidR="00734291" w:rsidRPr="00157644" w:rsidRDefault="00734291" w:rsidP="00157644">
            <w:pPr>
              <w:ind w:left="601"/>
              <w:jc w:val="both"/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</w:pPr>
            <w:r w:rsidRPr="00157644" w:rsidDel="00734291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</w:t>
            </w:r>
            <w:r w:rsidR="0017574E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« </w:t>
            </w:r>
            <w:r w:rsidR="00C62A9A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En versant une aide financière </w:t>
            </w:r>
            <w:r w:rsidR="00BE3626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sous forme de chèque </w:t>
            </w:r>
            <w:r w:rsidR="00C62A9A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aux ménages qui réalisent des travaux de rénovation énergétique,</w:t>
            </w:r>
            <w:r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EDF</w:t>
            </w:r>
            <w:r w:rsidR="00C62A9A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les aid</w:t>
            </w:r>
            <w:r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e</w:t>
            </w:r>
            <w:r w:rsidR="00C62A9A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à gagner en confort au quotidien et à faire des économies d’énergie. </w:t>
            </w:r>
            <w:r w:rsidR="00212FDD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Le</w:t>
            </w:r>
            <w:r w:rsidR="00C62A9A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partenariat signé </w:t>
            </w:r>
            <w:r w:rsidR="00BE3626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avec la CAPEB va permettre à son</w:t>
            </w:r>
            <w:r w:rsidR="00C62A9A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réseau d’artisans </w:t>
            </w:r>
            <w:r w:rsidR="00BE3626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de devenir</w:t>
            </w:r>
            <w:r w:rsidR="00C62A9A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ambassadeur des avantages de la Prime Energie EDF, au bénéfice de tous. C’est également une preuve de plus de l’engagement et de l’expertise d’EDF pour la transition énergétique en France</w:t>
            </w:r>
            <w:r w:rsidR="0017574E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 »</w:t>
            </w:r>
            <w:r w:rsidR="00C62A9A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. </w:t>
            </w:r>
            <w:r w:rsidR="0017574E" w:rsidRPr="00157644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Fabrice </w:t>
            </w:r>
            <w:proofErr w:type="spellStart"/>
            <w:r w:rsidR="0017574E" w:rsidRPr="00157644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Gourdellier</w:t>
            </w:r>
            <w:proofErr w:type="spellEnd"/>
            <w:r w:rsidR="0017574E" w:rsidRPr="00157644"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, Directeur du Marché des Clients Particuliers d’EDF</w:t>
            </w:r>
          </w:p>
          <w:p w14:paraId="10291EEE" w14:textId="77777777" w:rsidR="00734291" w:rsidRPr="00157644" w:rsidRDefault="00734291" w:rsidP="006910DC">
            <w:pPr>
              <w:ind w:left="567" w:right="567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2A9EF7FB" w14:textId="3C59F3EF" w:rsidR="00375CC2" w:rsidRPr="00157644" w:rsidRDefault="00375CC2" w:rsidP="00157644">
            <w:pPr>
              <w:ind w:left="567"/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157644"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  <w:t>« </w:t>
            </w:r>
            <w:r w:rsidR="00543552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En s’associant avec EDF, la CAPEB </w:t>
            </w:r>
            <w:r w:rsidR="0020404D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poursuit son action en faveur de la démocratisation des travaux de rénovation énergétique auprès des ménages</w:t>
            </w:r>
            <w:r w:rsidR="00835753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. Ce partenariat répond à </w:t>
            </w:r>
            <w:r w:rsidR="00FD4078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l’</w:t>
            </w:r>
            <w:r w:rsid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objectif</w:t>
            </w:r>
            <w:r w:rsidR="0020404D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</w:t>
            </w:r>
            <w:r w:rsidR="00FD4078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de donner des moyens</w:t>
            </w:r>
            <w:r w:rsidR="008B6014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aux</w:t>
            </w:r>
            <w:r w:rsidR="000300E1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acteurs du BTP</w:t>
            </w:r>
            <w:r w:rsidR="0020404D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</w:t>
            </w:r>
            <w:r w:rsidR="000300E1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pour leur permettre de </w:t>
            </w:r>
            <w:r w:rsidR="008B6014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faire </w:t>
            </w:r>
            <w:r w:rsidR="000300E1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réaliser des</w:t>
            </w:r>
            <w:r w:rsidR="0020404D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économies d’énergie</w:t>
            </w:r>
            <w:r w:rsidR="008B6014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à leurs clients</w:t>
            </w:r>
            <w:r w:rsidR="0020404D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et </w:t>
            </w:r>
            <w:r w:rsidR="00835753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apporter</w:t>
            </w:r>
            <w:r w:rsidR="000300E1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</w:t>
            </w:r>
            <w:r w:rsidR="0020404D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plus de confort </w:t>
            </w:r>
            <w:r w:rsidR="00835753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aux Français dans leur quotidien</w:t>
            </w:r>
            <w:r w:rsidR="00543552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. </w:t>
            </w:r>
            <w:r w:rsidR="0020404D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E</w:t>
            </w:r>
            <w:r w:rsidR="00BB37FC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n faisant la promotion de la Prime Energie EDF auprès de leurs clients, les artisans du Bâtiment</w:t>
            </w:r>
            <w:r w:rsidR="00543552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</w:t>
            </w:r>
            <w:r w:rsidR="0020404D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remplissent leur devoir de conseil et d’accompagnement et répondent à une </w:t>
            </w:r>
            <w:r w:rsidR="00D91035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difficulté cruciale</w:t>
            </w:r>
            <w:r w:rsidR="002C1026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, celle de la solvabilité </w:t>
            </w:r>
            <w:r w:rsidR="001812A0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des ménages désireux de réaliser des travaux</w:t>
            </w:r>
            <w:r w:rsidR="002C1026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 xml:space="preserve"> de rénovation énergétique</w:t>
            </w:r>
            <w:r w:rsidR="00543552" w:rsidRP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.</w:t>
            </w:r>
            <w:r w:rsidR="00157644">
              <w:rPr>
                <w:rFonts w:ascii="Trebuchet MS" w:hAnsi="Trebuchet MS"/>
                <w:bCs/>
                <w:i/>
                <w:sz w:val="20"/>
                <w:szCs w:val="20"/>
                <w:lang w:val="fr-FR"/>
              </w:rPr>
              <w:t> »</w:t>
            </w:r>
            <w:r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 xml:space="preserve"> explique Patrick </w:t>
            </w:r>
            <w:proofErr w:type="spellStart"/>
            <w:r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Liébus</w:t>
            </w:r>
            <w:proofErr w:type="spellEnd"/>
            <w:r w:rsidRPr="00157644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lang w:val="fr-FR"/>
              </w:rPr>
              <w:t>, Président de la CAPEB.</w:t>
            </w:r>
          </w:p>
          <w:p w14:paraId="7A802E17" w14:textId="77777777" w:rsidR="002C1026" w:rsidRPr="00157644" w:rsidRDefault="002C1026" w:rsidP="006910DC">
            <w:pPr>
              <w:ind w:left="567" w:right="567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tbl>
            <w:tblPr>
              <w:tblpPr w:leftFromText="141" w:rightFromText="141" w:vertAnchor="text" w:horzAnchor="page" w:tblpX="590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62"/>
            </w:tblGrid>
            <w:tr w:rsidR="001964BE" w:rsidRPr="00157644" w14:paraId="0AD2FFC0" w14:textId="77777777" w:rsidTr="001964BE">
              <w:trPr>
                <w:trHeight w:val="1540"/>
              </w:trPr>
              <w:tc>
                <w:tcPr>
                  <w:tcW w:w="6762" w:type="dxa"/>
                  <w:tcBorders>
                    <w:top w:val="dashed" w:sz="4" w:space="0" w:color="FF0000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</w:tcPr>
                <w:p w14:paraId="37A1062F" w14:textId="77777777" w:rsidR="00D10631" w:rsidRPr="00157644" w:rsidRDefault="00D10631" w:rsidP="001964BE">
                  <w:pPr>
                    <w:ind w:left="567" w:right="567"/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7F755D5" w14:textId="03142A22" w:rsidR="001964BE" w:rsidRPr="00157644" w:rsidRDefault="001964BE" w:rsidP="001964BE">
                  <w:pPr>
                    <w:ind w:left="567" w:right="567"/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57644">
                    <w:rPr>
                      <w:rFonts w:ascii="Trebuchet MS" w:hAnsi="Trebuchet MS"/>
                      <w:b/>
                      <w:bCs/>
                      <w:color w:val="000000"/>
                      <w:sz w:val="28"/>
                      <w:szCs w:val="28"/>
                    </w:rPr>
                    <w:t>La Prime Energie EDF en bref</w:t>
                  </w:r>
                </w:p>
                <w:p w14:paraId="12D4C330" w14:textId="0750B732" w:rsidR="001964BE" w:rsidRPr="00157644" w:rsidRDefault="001964BE" w:rsidP="001964BE">
                  <w:pPr>
                    <w:ind w:left="567" w:right="567"/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E90B9D4" w14:textId="2A756E2B" w:rsidR="001964BE" w:rsidRPr="00157644" w:rsidRDefault="001964BE" w:rsidP="00D10631">
                  <w:pPr>
                    <w:pStyle w:val="Paragraphedeliste"/>
                    <w:ind w:left="927" w:right="567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7644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Les </w:t>
                  </w:r>
                  <w:r w:rsidR="00D10631" w:rsidRPr="00157644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travaux éligibles</w:t>
                  </w:r>
                </w:p>
                <w:p w14:paraId="761034B8" w14:textId="77777777" w:rsidR="00D10631" w:rsidRPr="00157644" w:rsidRDefault="00D10631" w:rsidP="00D10631">
                  <w:pPr>
                    <w:pStyle w:val="Paragraphedeliste"/>
                    <w:ind w:left="927" w:right="567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12EF327" w14:textId="0B57AAFB" w:rsidR="00D10631" w:rsidRPr="00157644" w:rsidRDefault="00D10631" w:rsidP="00D10631">
                  <w:pPr>
                    <w:pStyle w:val="Paragraphedeliste"/>
                    <w:numPr>
                      <w:ilvl w:val="0"/>
                      <w:numId w:val="2"/>
                    </w:numPr>
                    <w:ind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Amélioration du système de chauffage et de régulation (chaudière, pompe à chaleur, etc.)</w:t>
                  </w:r>
                </w:p>
                <w:p w14:paraId="5132CB73" w14:textId="39B21591" w:rsidR="00D10631" w:rsidRPr="00157644" w:rsidRDefault="00D10631" w:rsidP="00D10631">
                  <w:pPr>
                    <w:pStyle w:val="Paragraphedeliste"/>
                    <w:numPr>
                      <w:ilvl w:val="0"/>
                      <w:numId w:val="2"/>
                    </w:numPr>
                    <w:ind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Isolation des combles, murs et planchers</w:t>
                  </w:r>
                </w:p>
                <w:p w14:paraId="24B3E208" w14:textId="05B71B29" w:rsidR="00D10631" w:rsidRPr="00157644" w:rsidRDefault="001812A0" w:rsidP="00D10631">
                  <w:pPr>
                    <w:pStyle w:val="Paragraphedeliste"/>
                    <w:numPr>
                      <w:ilvl w:val="0"/>
                      <w:numId w:val="2"/>
                    </w:numPr>
                    <w:ind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="00D10631"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ystème de chauffage utilisant les énergies renouvelables (chauffe-eau solaire individuel,</w:t>
                  </w:r>
                  <w:r w:rsidR="00963E13"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D10631"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chauffage au bois, etc.)</w:t>
                  </w:r>
                </w:p>
                <w:p w14:paraId="23F30BEC" w14:textId="3CA1983D" w:rsidR="00D10631" w:rsidRPr="00157644" w:rsidRDefault="00D10631" w:rsidP="00D10631">
                  <w:pPr>
                    <w:pStyle w:val="Paragraphedeliste"/>
                    <w:numPr>
                      <w:ilvl w:val="0"/>
                      <w:numId w:val="2"/>
                    </w:numPr>
                    <w:ind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Changement de fenêtres</w:t>
                  </w:r>
                </w:p>
                <w:p w14:paraId="7333BF1B" w14:textId="23377070" w:rsidR="00D10631" w:rsidRPr="00157644" w:rsidRDefault="00D10631" w:rsidP="00D10631">
                  <w:pPr>
                    <w:pStyle w:val="Paragraphedeliste"/>
                    <w:ind w:left="927"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  <w:p w14:paraId="20E13575" w14:textId="52B09C16" w:rsidR="00D10631" w:rsidRPr="00157644" w:rsidRDefault="00D10631" w:rsidP="00D10631">
                  <w:pPr>
                    <w:pStyle w:val="Paragraphedeliste"/>
                    <w:ind w:left="927" w:right="567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7644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Les critères de calcul du montant de la prime</w:t>
                  </w:r>
                </w:p>
                <w:p w14:paraId="5C60E83C" w14:textId="77777777" w:rsidR="00D10631" w:rsidRPr="00157644" w:rsidRDefault="00D10631" w:rsidP="00D10631">
                  <w:pPr>
                    <w:pStyle w:val="Paragraphedeliste"/>
                    <w:ind w:left="927" w:right="567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A8FC1FC" w14:textId="178010A2" w:rsidR="00D10631" w:rsidRPr="00157644" w:rsidRDefault="00D10631" w:rsidP="00D10631">
                  <w:pPr>
                    <w:pStyle w:val="Paragraphedeliste"/>
                    <w:numPr>
                      <w:ilvl w:val="0"/>
                      <w:numId w:val="2"/>
                    </w:numPr>
                    <w:ind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La localisation géographique des travaux</w:t>
                  </w:r>
                </w:p>
                <w:p w14:paraId="2811D836" w14:textId="02301328" w:rsidR="00D10631" w:rsidRPr="00157644" w:rsidRDefault="00D10631" w:rsidP="00D10631">
                  <w:pPr>
                    <w:pStyle w:val="Paragraphedeliste"/>
                    <w:numPr>
                      <w:ilvl w:val="0"/>
                      <w:numId w:val="2"/>
                    </w:numPr>
                    <w:ind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Les caractéristiques du logement</w:t>
                  </w:r>
                </w:p>
                <w:p w14:paraId="692867E1" w14:textId="67A5AFC3" w:rsidR="00D10631" w:rsidRPr="00157644" w:rsidRDefault="00D10631" w:rsidP="00D10631">
                  <w:pPr>
                    <w:pStyle w:val="Paragraphedeliste"/>
                    <w:numPr>
                      <w:ilvl w:val="0"/>
                      <w:numId w:val="2"/>
                    </w:numPr>
                    <w:ind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Le type de travaux envisagés</w:t>
                  </w:r>
                </w:p>
                <w:p w14:paraId="0A5BDA3E" w14:textId="345A9FF1" w:rsidR="001964BE" w:rsidRPr="00157644" w:rsidRDefault="00D10631" w:rsidP="00D10631">
                  <w:pPr>
                    <w:ind w:left="567"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+</w:t>
                  </w:r>
                  <w:r w:rsidR="003012AF"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 xml:space="preserve"> un</w:t>
                  </w:r>
                  <w:r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 xml:space="preserve"> bonus de </w:t>
                  </w:r>
                  <w:r w:rsidR="003012AF"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 xml:space="preserve">la </w:t>
                  </w:r>
                  <w:r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prime énergie EDF selon la situation fiscale</w:t>
                  </w:r>
                  <w:r w:rsidR="00866579"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 xml:space="preserve"> du ménage</w:t>
                  </w:r>
                </w:p>
                <w:p w14:paraId="23C6EBE2" w14:textId="2153F932" w:rsidR="00D10631" w:rsidRPr="00157644" w:rsidRDefault="00D10631" w:rsidP="00D10631">
                  <w:pPr>
                    <w:ind w:left="567"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  <w:p w14:paraId="2D8BC091" w14:textId="7E9679B4" w:rsidR="00D10631" w:rsidRPr="00157644" w:rsidRDefault="00D10631" w:rsidP="00D10631">
                  <w:pPr>
                    <w:ind w:left="567"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 xml:space="preserve">Retrouvez toutes les informations sur la prime énergie </w:t>
                  </w:r>
                  <w:r w:rsidR="0055371D"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 xml:space="preserve">sur </w:t>
                  </w:r>
                  <w:hyperlink r:id="rId14" w:history="1">
                    <w:r w:rsidR="0055371D" w:rsidRPr="00157644">
                      <w:rPr>
                        <w:rStyle w:val="Lienhypertexte"/>
                        <w:rFonts w:ascii="Trebuchet MS" w:hAnsi="Trebuchet MS"/>
                        <w:bCs/>
                        <w:sz w:val="20"/>
                        <w:szCs w:val="20"/>
                      </w:rPr>
                      <w:t>www.prime-energie-edf.fr</w:t>
                    </w:r>
                  </w:hyperlink>
                  <w:r w:rsidR="0055371D" w:rsidRPr="00157644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B6CA1F1" w14:textId="77777777" w:rsidR="00212FDD" w:rsidRPr="00157644" w:rsidRDefault="00212FDD" w:rsidP="00D10631">
                  <w:pPr>
                    <w:ind w:left="567" w:right="567"/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  <w:p w14:paraId="14A59515" w14:textId="2BE5E126" w:rsidR="00212FDD" w:rsidRPr="00157644" w:rsidRDefault="00157644" w:rsidP="00D14FF8">
                  <w:pPr>
                    <w:ind w:left="567" w:right="567"/>
                    <w:jc w:val="center"/>
                    <w:rPr>
                      <w:rFonts w:ascii="Trebuchet MS" w:hAnsi="Trebuchet MS"/>
                      <w:bCs/>
                      <w:color w:val="000000"/>
                      <w:spacing w:val="-2"/>
                      <w:sz w:val="16"/>
                      <w:szCs w:val="16"/>
                    </w:rPr>
                  </w:pPr>
                  <w:r w:rsidRPr="00157644">
                    <w:rPr>
                      <w:rFonts w:ascii="Trebuchet MS" w:hAnsi="Trebuchet MS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>L</w:t>
                  </w:r>
                  <w:r w:rsidR="00F27AAB" w:rsidRPr="00157644">
                    <w:rPr>
                      <w:rFonts w:ascii="Trebuchet MS" w:hAnsi="Trebuchet MS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>es travaux doivent être réalisés par des professionnels dûment qualifiés</w:t>
                  </w:r>
                </w:p>
                <w:p w14:paraId="2AEF4144" w14:textId="2A256510" w:rsidR="001964BE" w:rsidRPr="00157644" w:rsidRDefault="00F27AAB" w:rsidP="00D14FF8">
                  <w:pPr>
                    <w:ind w:left="-784" w:right="567"/>
                    <w:rPr>
                      <w:rFonts w:ascii="Trebuchet MS" w:hAnsi="Trebuchet MS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57644">
                    <w:rPr>
                      <w:rFonts w:ascii="Trebuchet MS" w:hAnsi="Trebuchet MS"/>
                      <w:b/>
                      <w:bCs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14:paraId="2DD2CB6E" w14:textId="56C050F9" w:rsidR="00212FDD" w:rsidRPr="00157644" w:rsidRDefault="00212FDD" w:rsidP="001964BE">
                  <w:pPr>
                    <w:ind w:right="567"/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EF73FED" w14:textId="6E5C5517" w:rsidR="00BB37FC" w:rsidRPr="00157644" w:rsidRDefault="00BB37FC" w:rsidP="006910DC">
            <w:pPr>
              <w:ind w:left="567" w:right="567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67394612" w14:textId="1B41FDFA" w:rsidR="00BB37FC" w:rsidRPr="00157644" w:rsidRDefault="00BB37FC" w:rsidP="006910DC">
            <w:pPr>
              <w:ind w:left="567" w:right="567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3E2A3C5B" w14:textId="755A51BC" w:rsidR="001964BE" w:rsidRPr="00157644" w:rsidRDefault="001964BE" w:rsidP="006910DC">
            <w:pPr>
              <w:ind w:left="567" w:right="567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24FEA1F8" w14:textId="5798668F" w:rsidR="001964BE" w:rsidRPr="00157644" w:rsidRDefault="001964BE" w:rsidP="006910DC">
            <w:pPr>
              <w:ind w:left="567" w:right="567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1BAD6B92" w14:textId="77777777" w:rsidR="001964BE" w:rsidRPr="00157644" w:rsidRDefault="001964BE" w:rsidP="001964BE">
            <w:pPr>
              <w:ind w:right="567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649D1E64" w14:textId="7AA3CA8D" w:rsidR="002F09FF" w:rsidRPr="00157644" w:rsidRDefault="002F09FF" w:rsidP="006910DC">
            <w:pPr>
              <w:ind w:left="567" w:right="567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  <w:p w14:paraId="2F9C34CC" w14:textId="77777777" w:rsidR="00375CC2" w:rsidRPr="00157644" w:rsidRDefault="00375CC2" w:rsidP="002F09FF">
            <w:pPr>
              <w:ind w:left="567" w:right="567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375CC2" w:rsidRPr="005340DE" w14:paraId="5E27076B" w14:textId="77777777" w:rsidTr="000749AC">
        <w:trPr>
          <w:trHeight w:val="709"/>
          <w:jc w:val="center"/>
        </w:trPr>
        <w:tc>
          <w:tcPr>
            <w:tcW w:w="8867" w:type="dxa"/>
            <w:gridSpan w:val="2"/>
          </w:tcPr>
          <w:p w14:paraId="690D8F8A" w14:textId="77777777" w:rsidR="00375CC2" w:rsidRPr="00157644" w:rsidRDefault="00375CC2" w:rsidP="006910DC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14:paraId="48487D38" w14:textId="77777777" w:rsidR="00375CC2" w:rsidRPr="00157644" w:rsidRDefault="00375CC2" w:rsidP="006910DC">
            <w:pPr>
              <w:jc w:val="both"/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 w:rsidRPr="00157644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 xml:space="preserve">À propos de la CAPEB : </w:t>
            </w:r>
          </w:p>
          <w:p w14:paraId="709E7D0F" w14:textId="77777777" w:rsidR="00963E13" w:rsidRPr="00157644" w:rsidRDefault="00963E13" w:rsidP="00963E13">
            <w:pPr>
              <w:jc w:val="both"/>
              <w:rPr>
                <w:rFonts w:ascii="Trebuchet MS" w:eastAsiaTheme="minorHAnsi" w:hAnsi="Trebuchet MS"/>
                <w:sz w:val="18"/>
                <w:szCs w:val="18"/>
                <w:lang w:val="fr-FR"/>
              </w:rPr>
            </w:pP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>La CAPEB, Confédération de l’Artisanat et des Petites Entreprises du Bâtiment, est le syndicat patronal représentant l’artisanat du Bâtiment lequel dénombre :</w:t>
            </w:r>
          </w:p>
          <w:p w14:paraId="0B3092ED" w14:textId="77777777" w:rsidR="00963E13" w:rsidRPr="00157644" w:rsidRDefault="00963E13" w:rsidP="00963E13">
            <w:pPr>
              <w:pStyle w:val="Paragraphedeliste"/>
              <w:numPr>
                <w:ilvl w:val="0"/>
                <w:numId w:val="3"/>
              </w:numPr>
              <w:autoSpaceDN w:val="0"/>
              <w:jc w:val="both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>419 486 entreprises employant moins de 20 salariés*, soit 98% des entreprises du Bâtiment**</w:t>
            </w:r>
          </w:p>
          <w:p w14:paraId="618145EB" w14:textId="77777777" w:rsidR="00963E13" w:rsidRPr="00157644" w:rsidRDefault="00963E13" w:rsidP="00963E13">
            <w:pPr>
              <w:pStyle w:val="Paragraphedeliste"/>
              <w:numPr>
                <w:ilvl w:val="0"/>
                <w:numId w:val="3"/>
              </w:numPr>
              <w:autoSpaceDN w:val="0"/>
              <w:jc w:val="both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>630 994 salariés, soit 60 % des salariés du Bâtiment</w:t>
            </w:r>
          </w:p>
          <w:p w14:paraId="37642E93" w14:textId="77777777" w:rsidR="00963E13" w:rsidRPr="00157644" w:rsidRDefault="00963E13" w:rsidP="00963E13">
            <w:pPr>
              <w:pStyle w:val="Paragraphedeliste"/>
              <w:numPr>
                <w:ilvl w:val="0"/>
                <w:numId w:val="3"/>
              </w:numPr>
              <w:autoSpaceDN w:val="0"/>
              <w:jc w:val="both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>55 334 apprentis, soit 79% des apprentis du Bâtiment</w:t>
            </w:r>
          </w:p>
          <w:p w14:paraId="6861873B" w14:textId="3273BCFC" w:rsidR="00963E13" w:rsidRPr="00157644" w:rsidRDefault="00896BE8" w:rsidP="00896BE8">
            <w:pPr>
              <w:jc w:val="both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 xml:space="preserve">Qui réalisent </w:t>
            </w:r>
            <w:r w:rsidR="00963E13" w:rsidRPr="00157644">
              <w:rPr>
                <w:rFonts w:ascii="Trebuchet MS" w:hAnsi="Trebuchet MS"/>
                <w:sz w:val="18"/>
                <w:szCs w:val="18"/>
                <w:lang w:val="fr-FR"/>
              </w:rPr>
              <w:t>82,2 milliards d’euros de chiffre d’affaires, soit 64% du CA du Bâtiment</w:t>
            </w:r>
          </w:p>
          <w:p w14:paraId="008DC81E" w14:textId="1D25CAF8" w:rsidR="00963E13" w:rsidRPr="00157644" w:rsidRDefault="00963E13" w:rsidP="00963E13">
            <w:pPr>
              <w:jc w:val="both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>* Ce chiffre (419 486) ne comprend pas les 130 480 micro</w:t>
            </w:r>
            <w:r w:rsidR="00896BE8" w:rsidRPr="00157644">
              <w:rPr>
                <w:rFonts w:ascii="Trebuchet MS" w:hAnsi="Trebuchet MS"/>
                <w:sz w:val="18"/>
                <w:szCs w:val="18"/>
                <w:lang w:val="fr-FR"/>
              </w:rPr>
              <w:t>-</w:t>
            </w: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>entrepreneurs déclarant un CA  au RSI</w:t>
            </w:r>
          </w:p>
          <w:p w14:paraId="69F48426" w14:textId="349EA2AF" w:rsidR="00375CC2" w:rsidRPr="00157644" w:rsidRDefault="00963E13" w:rsidP="006910DC">
            <w:pPr>
              <w:jc w:val="both"/>
              <w:rPr>
                <w:rStyle w:val="Lienhypertexte"/>
                <w:rFonts w:ascii="Trebuchet MS" w:hAnsi="Trebuchet MS"/>
                <w:sz w:val="18"/>
                <w:szCs w:val="18"/>
                <w:lang w:val="fr-FR"/>
              </w:rPr>
            </w:pP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>** Ces chiffres sont extraits de la nouvelle publication : « Les chiffres clés de l’artisanat du Bâtiment 201</w:t>
            </w:r>
            <w:r w:rsidR="001F2F55" w:rsidRPr="00157644">
              <w:rPr>
                <w:rFonts w:ascii="Trebuchet MS" w:hAnsi="Trebuchet MS"/>
                <w:sz w:val="18"/>
                <w:szCs w:val="18"/>
                <w:lang w:val="fr-FR"/>
              </w:rPr>
              <w:t>7</w:t>
            </w: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> »</w:t>
            </w:r>
            <w:r w:rsidR="00896BE8" w:rsidRPr="00157644">
              <w:rPr>
                <w:rFonts w:ascii="Trebuchet MS" w:hAnsi="Trebuchet MS"/>
                <w:sz w:val="18"/>
                <w:szCs w:val="18"/>
                <w:lang w:val="fr-FR"/>
              </w:rPr>
              <w:t xml:space="preserve"> </w:t>
            </w:r>
            <w:r w:rsidR="00375CC2" w:rsidRPr="00157644">
              <w:rPr>
                <w:rFonts w:ascii="Trebuchet MS" w:hAnsi="Trebuchet MS"/>
                <w:sz w:val="18"/>
                <w:szCs w:val="18"/>
                <w:lang w:val="fr-FR"/>
              </w:rPr>
              <w:t xml:space="preserve">La CAPEB est aussi sur Twitter : </w:t>
            </w:r>
            <w:hyperlink r:id="rId15" w:history="1">
              <w:r w:rsidR="00375CC2" w:rsidRPr="00157644">
                <w:rPr>
                  <w:rStyle w:val="Lienhypertexte"/>
                  <w:rFonts w:ascii="Trebuchet MS" w:hAnsi="Trebuchet MS"/>
                  <w:sz w:val="18"/>
                  <w:szCs w:val="18"/>
                  <w:lang w:val="fr-FR"/>
                </w:rPr>
                <w:t>https://twitter.com/capeb_fr</w:t>
              </w:r>
            </w:hyperlink>
          </w:p>
          <w:p w14:paraId="647E8BDB" w14:textId="77777777" w:rsidR="00375CC2" w:rsidRPr="00157644" w:rsidRDefault="00375CC2" w:rsidP="006910DC">
            <w:pPr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</w:p>
          <w:p w14:paraId="65C83988" w14:textId="77777777" w:rsidR="00375CC2" w:rsidRPr="00157644" w:rsidRDefault="00375CC2" w:rsidP="006910DC">
            <w:pPr>
              <w:jc w:val="both"/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 w:rsidRPr="00157644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lastRenderedPageBreak/>
              <w:t xml:space="preserve">A propos </w:t>
            </w:r>
            <w:r w:rsidR="007D7F30" w:rsidRPr="00157644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d’EDF</w:t>
            </w:r>
            <w:r w:rsidRPr="00157644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 :</w:t>
            </w:r>
          </w:p>
          <w:p w14:paraId="217E2F5C" w14:textId="466A8989" w:rsidR="00ED0323" w:rsidRPr="00157644" w:rsidRDefault="00ED0323" w:rsidP="00ED0323">
            <w:pPr>
              <w:spacing w:line="220" w:lineRule="atLeast"/>
              <w:jc w:val="both"/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 xml:space="preserve">Acteur majeur de la transition énergétique, le Groupe EDF est un énergéticien intégré, présent sur l’ensemble des métiers : la production, le transport, la distribution, la vente d’énergies et les services énergétiques. Leader des énergies bas carbone dans le monde, le Groupe a développé un mix de production diversifié basé sur l'énergie nucléaire, l’hydraulique, les énergies nouvelles renouvelables et le thermique. Le Groupe participe à la fourniture d’énergies et de services à environ </w:t>
            </w:r>
            <w:r w:rsidR="00BE3626" w:rsidRPr="00157644">
              <w:rPr>
                <w:rFonts w:ascii="Trebuchet MS" w:hAnsi="Trebuchet MS"/>
                <w:sz w:val="18"/>
                <w:szCs w:val="18"/>
                <w:lang w:val="fr-FR"/>
              </w:rPr>
              <w:t>35,1</w:t>
            </w: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 xml:space="preserve"> millions de clients, dont </w:t>
            </w:r>
            <w:r w:rsidR="00BE3626" w:rsidRPr="00157644">
              <w:rPr>
                <w:rFonts w:ascii="Trebuchet MS" w:hAnsi="Trebuchet MS"/>
                <w:sz w:val="18"/>
                <w:szCs w:val="18"/>
                <w:lang w:val="fr-FR"/>
              </w:rPr>
              <w:t xml:space="preserve">26,5 </w:t>
            </w: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 xml:space="preserve">millions en France. Il a réalisé en </w:t>
            </w:r>
            <w:r w:rsidR="00BE3626" w:rsidRPr="00157644">
              <w:rPr>
                <w:rFonts w:ascii="Trebuchet MS" w:hAnsi="Trebuchet MS"/>
                <w:sz w:val="18"/>
                <w:szCs w:val="18"/>
                <w:lang w:val="fr-FR"/>
              </w:rPr>
              <w:t xml:space="preserve">2017 </w:t>
            </w: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 xml:space="preserve">un chiffre d’affaires consolidé de </w:t>
            </w:r>
            <w:r w:rsidR="00BE3626" w:rsidRPr="00157644">
              <w:rPr>
                <w:rFonts w:ascii="Trebuchet MS" w:hAnsi="Trebuchet MS"/>
                <w:sz w:val="18"/>
                <w:szCs w:val="18"/>
                <w:lang w:val="fr-FR"/>
              </w:rPr>
              <w:t xml:space="preserve">69,6 </w:t>
            </w:r>
            <w:r w:rsidRPr="00157644">
              <w:rPr>
                <w:rFonts w:ascii="Trebuchet MS" w:hAnsi="Trebuchet MS"/>
                <w:sz w:val="18"/>
                <w:szCs w:val="18"/>
                <w:lang w:val="fr-FR"/>
              </w:rPr>
              <w:t xml:space="preserve">milliards d’euros. EDF est une entreprise cotée à la Bourse de Paris. </w:t>
            </w:r>
          </w:p>
          <w:p w14:paraId="25165C30" w14:textId="77777777" w:rsidR="00ED0323" w:rsidRPr="00157644" w:rsidRDefault="00ED0323" w:rsidP="00F50252">
            <w:pPr>
              <w:jc w:val="both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14:paraId="0C77E683" w14:textId="77777777" w:rsidR="00375CC2" w:rsidRPr="00157644" w:rsidRDefault="00375CC2" w:rsidP="006910DC">
            <w:pPr>
              <w:pStyle w:val="Titre2"/>
              <w:spacing w:before="0" w:line="240" w:lineRule="atLeast"/>
              <w:outlineLvl w:val="1"/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fr-FR"/>
              </w:rPr>
            </w:pPr>
            <w:r w:rsidRPr="00157644">
              <w:rPr>
                <w:rFonts w:ascii="Trebuchet MS" w:eastAsia="Times New Roman" w:hAnsi="Trebuchet MS" w:cs="Arial"/>
                <w:color w:val="auto"/>
                <w:sz w:val="18"/>
                <w:szCs w:val="18"/>
                <w:lang w:val="fr-FR"/>
              </w:rPr>
              <w:t>Contacts Presse</w:t>
            </w:r>
          </w:p>
          <w:p w14:paraId="2FC619FB" w14:textId="77777777" w:rsidR="00573AA1" w:rsidRDefault="00573AA1" w:rsidP="006910DC">
            <w:pPr>
              <w:jc w:val="both"/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14:paraId="2C2FAB69" w14:textId="0710EFA4" w:rsidR="00375CC2" w:rsidRPr="00157644" w:rsidRDefault="00375CC2" w:rsidP="006910DC">
            <w:pPr>
              <w:jc w:val="both"/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 w:rsidRPr="00157644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Pour la CAPEB</w:t>
            </w:r>
          </w:p>
          <w:p w14:paraId="3BCF9451" w14:textId="77777777" w:rsidR="00375CC2" w:rsidRPr="00157644" w:rsidRDefault="00375CC2" w:rsidP="006910DC">
            <w:pPr>
              <w:jc w:val="both"/>
              <w:rPr>
                <w:rFonts w:ascii="Trebuchet MS" w:hAnsi="Trebuchet MS"/>
                <w:b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157644">
              <w:rPr>
                <w:rFonts w:ascii="Trebuchet MS" w:hAnsi="Trebuchet MS"/>
                <w:b/>
                <w:i/>
                <w:iCs/>
                <w:sz w:val="18"/>
                <w:szCs w:val="18"/>
                <w:lang w:val="fr-FR"/>
              </w:rPr>
              <w:t>Hopscotch</w:t>
            </w:r>
            <w:proofErr w:type="spellEnd"/>
            <w:r w:rsidRPr="00157644">
              <w:rPr>
                <w:rFonts w:ascii="Trebuchet MS" w:hAnsi="Trebuchet MS"/>
                <w:b/>
                <w:i/>
                <w:iCs/>
                <w:sz w:val="18"/>
                <w:szCs w:val="18"/>
                <w:lang w:val="fr-FR"/>
              </w:rPr>
              <w:t> :</w:t>
            </w:r>
          </w:p>
          <w:p w14:paraId="2579B19B" w14:textId="77777777" w:rsidR="00375CC2" w:rsidRPr="00157644" w:rsidRDefault="00375CC2" w:rsidP="006910DC">
            <w:pPr>
              <w:jc w:val="both"/>
              <w:rPr>
                <w:rFonts w:ascii="Trebuchet MS" w:hAnsi="Trebuchet MS"/>
                <w:i/>
                <w:iCs/>
                <w:color w:val="C00000"/>
                <w:sz w:val="18"/>
                <w:szCs w:val="18"/>
                <w:u w:val="single"/>
                <w:lang w:val="fr-FR"/>
              </w:rPr>
            </w:pPr>
            <w:r w:rsidRPr="00157644">
              <w:rPr>
                <w:rFonts w:ascii="Trebuchet MS" w:hAnsi="Trebuchet MS"/>
                <w:i/>
                <w:iCs/>
                <w:sz w:val="18"/>
                <w:szCs w:val="18"/>
                <w:lang w:val="fr-FR"/>
              </w:rPr>
              <w:t xml:space="preserve">Baptiste Romeuf - Tél : +33(0)1 58 65 00 45 – </w:t>
            </w:r>
            <w:hyperlink r:id="rId16" w:history="1">
              <w:r w:rsidRPr="00157644">
                <w:rPr>
                  <w:rStyle w:val="Lienhypertexte"/>
                  <w:rFonts w:ascii="Trebuchet MS" w:hAnsi="Trebuchet MS"/>
                  <w:i/>
                  <w:iCs/>
                  <w:color w:val="C00000"/>
                  <w:sz w:val="18"/>
                  <w:szCs w:val="18"/>
                  <w:lang w:val="fr-FR"/>
                </w:rPr>
                <w:t>bromeuf@hopsctoch.fr</w:t>
              </w:r>
            </w:hyperlink>
          </w:p>
          <w:p w14:paraId="489F5A67" w14:textId="77777777" w:rsidR="00375CC2" w:rsidRPr="00157644" w:rsidRDefault="00375CC2" w:rsidP="006910DC">
            <w:pPr>
              <w:jc w:val="both"/>
              <w:rPr>
                <w:rFonts w:ascii="Trebuchet MS" w:hAnsi="Trebuchet MS"/>
                <w:b/>
                <w:i/>
                <w:iCs/>
                <w:sz w:val="18"/>
                <w:szCs w:val="18"/>
                <w:lang w:val="fr-FR"/>
              </w:rPr>
            </w:pPr>
            <w:r w:rsidRPr="00157644">
              <w:rPr>
                <w:rFonts w:ascii="Trebuchet MS" w:hAnsi="Trebuchet MS"/>
                <w:b/>
                <w:i/>
                <w:iCs/>
                <w:sz w:val="18"/>
                <w:szCs w:val="18"/>
                <w:lang w:val="fr-FR"/>
              </w:rPr>
              <w:t>CAPEB :</w:t>
            </w:r>
          </w:p>
          <w:p w14:paraId="245C0C1E" w14:textId="77777777" w:rsidR="00375CC2" w:rsidRPr="00157644" w:rsidRDefault="00375CC2" w:rsidP="006910DC">
            <w:pPr>
              <w:pBdr>
                <w:bottom w:val="single" w:sz="4" w:space="1" w:color="auto"/>
              </w:pBdr>
              <w:jc w:val="both"/>
              <w:rPr>
                <w:rFonts w:ascii="Trebuchet MS" w:hAnsi="Trebuchet MS"/>
                <w:i/>
                <w:iCs/>
                <w:color w:val="CC0000"/>
                <w:sz w:val="18"/>
                <w:szCs w:val="18"/>
                <w:u w:val="single"/>
                <w:lang w:val="fr-FR"/>
              </w:rPr>
            </w:pPr>
            <w:r w:rsidRPr="00157644">
              <w:rPr>
                <w:rFonts w:ascii="Trebuchet MS" w:hAnsi="Trebuchet MS"/>
                <w:i/>
                <w:iCs/>
                <w:sz w:val="18"/>
                <w:szCs w:val="18"/>
                <w:lang w:val="fr-FR"/>
              </w:rPr>
              <w:t xml:space="preserve">Isabelle Planchais – Tél : +33(0)1 53 60 50 00/77/81 et +33(0)6 08 56 78 06 - </w:t>
            </w:r>
            <w:hyperlink r:id="rId17" w:history="1">
              <w:r w:rsidRPr="00157644">
                <w:rPr>
                  <w:rFonts w:ascii="Trebuchet MS" w:hAnsi="Trebuchet MS"/>
                  <w:i/>
                  <w:iCs/>
                  <w:color w:val="CC0000"/>
                  <w:sz w:val="18"/>
                  <w:szCs w:val="18"/>
                  <w:u w:val="single"/>
                  <w:lang w:val="fr-FR"/>
                </w:rPr>
                <w:t>i.planchais@capeb.fr</w:t>
              </w:r>
            </w:hyperlink>
          </w:p>
          <w:p w14:paraId="08B79D0F" w14:textId="77777777" w:rsidR="00573AA1" w:rsidRDefault="00573AA1" w:rsidP="006910DC">
            <w:pPr>
              <w:pBdr>
                <w:bottom w:val="single" w:sz="4" w:space="1" w:color="auto"/>
              </w:pBdr>
              <w:jc w:val="both"/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</w:p>
          <w:p w14:paraId="76AD9F17" w14:textId="72F3A96D" w:rsidR="00375CC2" w:rsidRPr="00157644" w:rsidRDefault="00375CC2" w:rsidP="006910DC">
            <w:pPr>
              <w:pBdr>
                <w:bottom w:val="single" w:sz="4" w:space="1" w:color="auto"/>
              </w:pBdr>
              <w:jc w:val="both"/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</w:pPr>
            <w:r w:rsidRPr="00157644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 xml:space="preserve">Pour </w:t>
            </w:r>
            <w:r w:rsidR="007D7F30" w:rsidRPr="00157644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u w:val="single"/>
                <w:lang w:val="fr-FR"/>
              </w:rPr>
              <w:t>EDF</w:t>
            </w:r>
          </w:p>
          <w:p w14:paraId="7DBD31A8" w14:textId="267789A8" w:rsidR="003318B8" w:rsidRPr="00BB3455" w:rsidRDefault="0055371D" w:rsidP="0070265E">
            <w:pPr>
              <w:pBdr>
                <w:bottom w:val="single" w:sz="4" w:space="1" w:color="auto"/>
              </w:pBdr>
              <w:rPr>
                <w:rFonts w:ascii="Trebuchet MS" w:hAnsi="Trebuchet MS"/>
                <w:i/>
                <w:iCs/>
                <w:color w:val="CC0000"/>
                <w:sz w:val="18"/>
                <w:szCs w:val="18"/>
                <w:u w:val="single"/>
                <w:lang w:val="fr-FR"/>
              </w:rPr>
            </w:pPr>
            <w:r w:rsidRPr="00157644">
              <w:rPr>
                <w:rFonts w:ascii="Trebuchet MS" w:hAnsi="Trebuchet MS"/>
                <w:i/>
                <w:iCs/>
                <w:sz w:val="18"/>
                <w:szCs w:val="18"/>
                <w:lang w:val="fr-FR"/>
              </w:rPr>
              <w:t xml:space="preserve">Service de presse </w:t>
            </w:r>
            <w:r w:rsidR="003318B8" w:rsidRPr="00157644">
              <w:rPr>
                <w:rFonts w:ascii="Trebuchet MS" w:hAnsi="Trebuchet MS"/>
                <w:i/>
                <w:iCs/>
                <w:sz w:val="18"/>
                <w:szCs w:val="18"/>
                <w:lang w:val="fr-FR"/>
              </w:rPr>
              <w:t xml:space="preserve">– Tél : </w:t>
            </w:r>
            <w:r w:rsidRPr="00157644">
              <w:rPr>
                <w:rFonts w:ascii="Trebuchet MS" w:hAnsi="Trebuchet MS"/>
                <w:i/>
                <w:iCs/>
                <w:sz w:val="18"/>
                <w:szCs w:val="18"/>
                <w:lang w:val="fr-FR"/>
              </w:rPr>
              <w:t>+331 40 42 46 37</w:t>
            </w:r>
            <w:r w:rsidR="003318B8" w:rsidRPr="00157644">
              <w:rPr>
                <w:rFonts w:ascii="Trebuchet MS" w:hAnsi="Trebuchet MS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157644">
              <w:rPr>
                <w:rFonts w:ascii="Trebuchet MS" w:hAnsi="Trebuchet MS"/>
                <w:i/>
                <w:iCs/>
                <w:sz w:val="18"/>
                <w:szCs w:val="18"/>
                <w:lang w:val="fr-FR"/>
              </w:rPr>
              <w:t>–</w:t>
            </w:r>
            <w:r w:rsidR="003318B8" w:rsidRPr="00157644">
              <w:rPr>
                <w:rFonts w:ascii="Trebuchet MS" w:hAnsi="Trebuchet MS"/>
                <w:i/>
                <w:iCs/>
                <w:sz w:val="18"/>
                <w:szCs w:val="18"/>
                <w:lang w:val="fr-FR"/>
              </w:rPr>
              <w:t xml:space="preserve"> </w:t>
            </w:r>
            <w:hyperlink r:id="rId18" w:history="1">
              <w:r w:rsidRPr="00157644">
                <w:rPr>
                  <w:rStyle w:val="Lienhypertexte"/>
                  <w:rFonts w:ascii="Trebuchet MS" w:hAnsi="Trebuchet MS"/>
                  <w:i/>
                  <w:iCs/>
                  <w:sz w:val="18"/>
                  <w:szCs w:val="18"/>
                  <w:lang w:val="fr-FR"/>
                </w:rPr>
                <w:t>service-de-presse@edf.fr</w:t>
              </w:r>
            </w:hyperlink>
            <w:r>
              <w:rPr>
                <w:rFonts w:ascii="Trebuchet MS" w:hAnsi="Trebuchet MS"/>
                <w:i/>
                <w:iCs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1A548AC9" w14:textId="77777777" w:rsidR="00375CC2" w:rsidRPr="001D1C8D" w:rsidRDefault="00375CC2" w:rsidP="00375CC2">
      <w:pPr>
        <w:rPr>
          <w:rFonts w:ascii="Arial" w:hAnsi="Arial" w:cs="Arial"/>
          <w:sz w:val="18"/>
          <w:szCs w:val="18"/>
        </w:rPr>
      </w:pPr>
    </w:p>
    <w:p w14:paraId="385CFE9D" w14:textId="77777777" w:rsidR="006E0788" w:rsidRDefault="006E0788"/>
    <w:sectPr w:rsidR="006E0788" w:rsidSect="003C62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49D9"/>
    <w:multiLevelType w:val="hybridMultilevel"/>
    <w:tmpl w:val="150CED94"/>
    <w:lvl w:ilvl="0" w:tplc="F32464D8">
      <w:numFmt w:val="bullet"/>
      <w:lvlText w:val="-"/>
      <w:lvlJc w:val="left"/>
      <w:pPr>
        <w:ind w:left="927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E40FB0"/>
    <w:multiLevelType w:val="hybridMultilevel"/>
    <w:tmpl w:val="6B54FBFA"/>
    <w:lvl w:ilvl="0" w:tplc="151C40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C2"/>
    <w:rsid w:val="000300E1"/>
    <w:rsid w:val="000326E7"/>
    <w:rsid w:val="00071430"/>
    <w:rsid w:val="000749AC"/>
    <w:rsid w:val="000D1708"/>
    <w:rsid w:val="00101892"/>
    <w:rsid w:val="00157644"/>
    <w:rsid w:val="0017574E"/>
    <w:rsid w:val="001812A0"/>
    <w:rsid w:val="0019158A"/>
    <w:rsid w:val="001964BE"/>
    <w:rsid w:val="001B3F82"/>
    <w:rsid w:val="001F2F55"/>
    <w:rsid w:val="0020404D"/>
    <w:rsid w:val="00212FDD"/>
    <w:rsid w:val="0028188C"/>
    <w:rsid w:val="00285181"/>
    <w:rsid w:val="002C0B5F"/>
    <w:rsid w:val="002C1026"/>
    <w:rsid w:val="002F09FF"/>
    <w:rsid w:val="003007CA"/>
    <w:rsid w:val="003012AF"/>
    <w:rsid w:val="003111F9"/>
    <w:rsid w:val="00326438"/>
    <w:rsid w:val="003318B8"/>
    <w:rsid w:val="00375CC2"/>
    <w:rsid w:val="003F766F"/>
    <w:rsid w:val="00472A15"/>
    <w:rsid w:val="00543552"/>
    <w:rsid w:val="0055371D"/>
    <w:rsid w:val="00573AA1"/>
    <w:rsid w:val="005B2FAE"/>
    <w:rsid w:val="005C2DD9"/>
    <w:rsid w:val="00603905"/>
    <w:rsid w:val="006532B8"/>
    <w:rsid w:val="006C241A"/>
    <w:rsid w:val="006D05E1"/>
    <w:rsid w:val="006D3FEE"/>
    <w:rsid w:val="006E0788"/>
    <w:rsid w:val="0070265E"/>
    <w:rsid w:val="00734291"/>
    <w:rsid w:val="00747A4B"/>
    <w:rsid w:val="00786147"/>
    <w:rsid w:val="007D7F30"/>
    <w:rsid w:val="00835753"/>
    <w:rsid w:val="00866579"/>
    <w:rsid w:val="00896BE8"/>
    <w:rsid w:val="008B6014"/>
    <w:rsid w:val="008F3412"/>
    <w:rsid w:val="00963E13"/>
    <w:rsid w:val="00976FE4"/>
    <w:rsid w:val="009A7F3B"/>
    <w:rsid w:val="00A32241"/>
    <w:rsid w:val="00A67BE0"/>
    <w:rsid w:val="00BB37FC"/>
    <w:rsid w:val="00BE3626"/>
    <w:rsid w:val="00C62A9A"/>
    <w:rsid w:val="00CC3906"/>
    <w:rsid w:val="00CE1086"/>
    <w:rsid w:val="00CF1837"/>
    <w:rsid w:val="00D10631"/>
    <w:rsid w:val="00D14FF8"/>
    <w:rsid w:val="00D26654"/>
    <w:rsid w:val="00D87ED4"/>
    <w:rsid w:val="00D91035"/>
    <w:rsid w:val="00E031AC"/>
    <w:rsid w:val="00E1127A"/>
    <w:rsid w:val="00E42DD3"/>
    <w:rsid w:val="00E55472"/>
    <w:rsid w:val="00E60BAA"/>
    <w:rsid w:val="00E6763B"/>
    <w:rsid w:val="00ED0323"/>
    <w:rsid w:val="00EF1300"/>
    <w:rsid w:val="00F27AAB"/>
    <w:rsid w:val="00F50252"/>
    <w:rsid w:val="00FD4078"/>
    <w:rsid w:val="00FF0DD4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F724"/>
  <w15:chartTrackingRefBased/>
  <w15:docId w15:val="{467786C1-A393-488E-B81E-A462DB6A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C2"/>
    <w:pPr>
      <w:spacing w:after="0" w:line="240" w:lineRule="auto"/>
    </w:pPr>
    <w:rPr>
      <w:rFonts w:eastAsiaTheme="minorEastAsi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75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5CC2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8469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C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75CC2"/>
    <w:rPr>
      <w:rFonts w:asciiTheme="majorHAnsi" w:eastAsiaTheme="majorEastAsia" w:hAnsiTheme="majorHAnsi" w:cstheme="majorBidi"/>
      <w:b/>
      <w:bCs/>
      <w:color w:val="008469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75CC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375CC2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5CC2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D7F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F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F30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F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F30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F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F30"/>
    <w:rPr>
      <w:rFonts w:ascii="Segoe UI" w:eastAsiaTheme="minorEastAsia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818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3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b.fr/" TargetMode="External"/><Relationship Id="rId13" Type="http://schemas.openxmlformats.org/officeDocument/2006/relationships/hyperlink" Target="https://www.prime-energie-edf.fr/prime-energie-d-edf/sous-quelles-conditions-la-prime-energie-d-edf-peut-elle-etre-bonifiee.html" TargetMode="External"/><Relationship Id="rId18" Type="http://schemas.openxmlformats.org/officeDocument/2006/relationships/hyperlink" Target="mailto:service-de-presse@edf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EDFofficiel" TargetMode="External"/><Relationship Id="rId12" Type="http://schemas.openxmlformats.org/officeDocument/2006/relationships/hyperlink" Target="https://www.prime-energie-edf.fr/" TargetMode="External"/><Relationship Id="rId17" Type="http://schemas.openxmlformats.org/officeDocument/2006/relationships/hyperlink" Target="mailto:i.planchais@capeb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bromeuf@hopsctoch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etransfer.com/downloads/bb288f713621e3cf2188891de2dc74d020180312152005/d10df233533be39ab7af4007f2d4412820180312152005/45044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capeb_f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e-energie-edf.fr/" TargetMode="External"/><Relationship Id="rId14" Type="http://schemas.openxmlformats.org/officeDocument/2006/relationships/hyperlink" Target="http://www.prime-energie-ed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HOPSCOTCHGROUPE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BERNACCHI</dc:creator>
  <cp:keywords/>
  <dc:description/>
  <cp:lastModifiedBy>Julien OLIVEIRA</cp:lastModifiedBy>
  <cp:revision>2</cp:revision>
  <cp:lastPrinted>2018-02-19T11:00:00Z</cp:lastPrinted>
  <dcterms:created xsi:type="dcterms:W3CDTF">2018-03-14T09:33:00Z</dcterms:created>
  <dcterms:modified xsi:type="dcterms:W3CDTF">2018-03-14T09:33:00Z</dcterms:modified>
</cp:coreProperties>
</file>