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26" w:rsidRDefault="00680F26" w:rsidP="00680F26">
      <w:pPr>
        <w:pStyle w:val="Titre1"/>
        <w:rPr>
          <w:rFonts w:eastAsia="Calibri"/>
        </w:rPr>
      </w:pPr>
      <w:r>
        <w:rPr>
          <w:rFonts w:eastAsia="Calibri"/>
        </w:rPr>
        <w:t>ASSISES ET PRIX DES DELAIS DE PAIEMENT : 12 juin 2019</w:t>
      </w:r>
    </w:p>
    <w:p w:rsidR="00680F26" w:rsidRDefault="00680F26" w:rsidP="00680F26">
      <w:pPr>
        <w:spacing w:after="160" w:line="259" w:lineRule="auto"/>
        <w:rPr>
          <w:rFonts w:eastAsia="Calibri" w:cs="Times New Roman"/>
          <w:b/>
          <w:sz w:val="32"/>
          <w:szCs w:val="32"/>
          <w:u w:val="single"/>
        </w:rPr>
      </w:pPr>
    </w:p>
    <w:p w:rsidR="00680F26" w:rsidRPr="00324DB5" w:rsidRDefault="00680F26" w:rsidP="00680F26">
      <w:pPr>
        <w:pStyle w:val="Titre2"/>
        <w:rPr>
          <w:rFonts w:eastAsia="Calibri"/>
          <w:sz w:val="28"/>
          <w:szCs w:val="28"/>
        </w:rPr>
      </w:pPr>
      <w:r w:rsidRPr="00324DB5">
        <w:rPr>
          <w:rFonts w:eastAsia="Calibri"/>
          <w:sz w:val="28"/>
          <w:szCs w:val="28"/>
        </w:rPr>
        <w:t>Présentation des prix</w:t>
      </w:r>
    </w:p>
    <w:p w:rsidR="00680F26" w:rsidRDefault="00680F26" w:rsidP="00680F26">
      <w:pPr>
        <w:spacing w:after="160" w:line="259" w:lineRule="auto"/>
        <w:rPr>
          <w:rFonts w:eastAsia="Calibri" w:cs="Times New Roman"/>
          <w:b/>
          <w:u w:val="single"/>
        </w:rPr>
      </w:pPr>
    </w:p>
    <w:p w:rsidR="00680F26" w:rsidRDefault="00680F26" w:rsidP="00680F26">
      <w:pPr>
        <w:spacing w:after="160" w:line="259" w:lineRule="auto"/>
        <w:rPr>
          <w:rFonts w:eastAsia="Calibri" w:cs="Times New Roman"/>
        </w:rPr>
      </w:pPr>
      <w:r w:rsidRPr="00220826">
        <w:rPr>
          <w:rFonts w:eastAsia="Calibri" w:cs="Times New Roman"/>
        </w:rPr>
        <w:t xml:space="preserve">Les prix des délais de paiement </w:t>
      </w:r>
      <w:r>
        <w:rPr>
          <w:rFonts w:eastAsia="Calibri" w:cs="Times New Roman"/>
        </w:rPr>
        <w:t xml:space="preserve">seront remis le 12 juin 2019 durant la matinée </w:t>
      </w:r>
      <w:r w:rsidR="00D4359E">
        <w:rPr>
          <w:rFonts w:eastAsia="Calibri" w:cs="Times New Roman"/>
        </w:rPr>
        <w:t xml:space="preserve">du 12 juin </w:t>
      </w:r>
      <w:r>
        <w:rPr>
          <w:rFonts w:eastAsia="Calibri" w:cs="Times New Roman"/>
        </w:rPr>
        <w:t>au siège du MEDEF. Ils sont attribués à deux catégories de participants :</w:t>
      </w:r>
    </w:p>
    <w:p w:rsidR="00680F26" w:rsidRDefault="00680F26" w:rsidP="00680F26">
      <w:pPr>
        <w:pStyle w:val="Paragraphedeliste"/>
        <w:numPr>
          <w:ilvl w:val="0"/>
          <w:numId w:val="1"/>
        </w:numPr>
        <w:spacing w:after="160" w:line="259" w:lineRule="auto"/>
        <w:rPr>
          <w:rFonts w:eastAsia="Calibri" w:cs="Times New Roman"/>
        </w:rPr>
      </w:pPr>
      <w:r>
        <w:rPr>
          <w:rFonts w:eastAsia="Calibri" w:cs="Times New Roman"/>
        </w:rPr>
        <w:t>Entreprises (</w:t>
      </w:r>
      <w:r w:rsidRPr="00220826">
        <w:rPr>
          <w:rFonts w:eastAsia="Calibri" w:cs="Times New Roman"/>
        </w:rPr>
        <w:t>Grande Entreprise, ETI, PME ou TPE</w:t>
      </w:r>
      <w:r>
        <w:rPr>
          <w:rFonts w:eastAsia="Calibri" w:cs="Times New Roman"/>
        </w:rPr>
        <w:t>)</w:t>
      </w:r>
    </w:p>
    <w:p w:rsidR="00680F26" w:rsidRPr="00220826" w:rsidRDefault="00680F26" w:rsidP="00680F26">
      <w:pPr>
        <w:pStyle w:val="Paragraphedeliste"/>
        <w:numPr>
          <w:ilvl w:val="0"/>
          <w:numId w:val="1"/>
        </w:numPr>
        <w:spacing w:after="160" w:line="259" w:lineRule="auto"/>
        <w:rPr>
          <w:rFonts w:eastAsia="Calibri" w:cs="Times New Roman"/>
          <w:b/>
          <w:u w:val="single"/>
        </w:rPr>
      </w:pPr>
      <w:r>
        <w:rPr>
          <w:rFonts w:eastAsia="Calibri" w:cs="Times New Roman"/>
        </w:rPr>
        <w:t>O</w:t>
      </w:r>
      <w:r w:rsidRPr="00220826">
        <w:rPr>
          <w:rFonts w:eastAsia="Calibri" w:cs="Times New Roman"/>
        </w:rPr>
        <w:t>rganismes public</w:t>
      </w:r>
      <w:r w:rsidRPr="004E7F1E">
        <w:rPr>
          <w:rFonts w:asciiTheme="minorHAnsi" w:eastAsia="Calibri" w:hAnsiTheme="minorHAnsi" w:cstheme="minorHAnsi"/>
        </w:rPr>
        <w:t>s (</w:t>
      </w:r>
      <w:r w:rsidRPr="004E7F1E">
        <w:rPr>
          <w:rFonts w:asciiTheme="minorHAnsi" w:hAnsiTheme="minorHAnsi" w:cstheme="minorHAnsi"/>
          <w:color w:val="3A3A3A"/>
        </w:rPr>
        <w:t>collectivité territoriale, établissement public ou hôpital)</w:t>
      </w:r>
    </w:p>
    <w:p w:rsidR="00680F26" w:rsidRDefault="00680F26" w:rsidP="00680F26">
      <w:pPr>
        <w:spacing w:after="160" w:line="259" w:lineRule="auto"/>
        <w:rPr>
          <w:rFonts w:eastAsia="Calibri" w:cs="Times New Roman"/>
        </w:rPr>
      </w:pPr>
      <w:r w:rsidRPr="00220826">
        <w:rPr>
          <w:rFonts w:eastAsia="Calibri" w:cs="Times New Roman"/>
        </w:rPr>
        <w:t xml:space="preserve">Les prix des délais de paiement récompensent : </w:t>
      </w:r>
    </w:p>
    <w:p w:rsidR="00680F26" w:rsidRPr="00220826" w:rsidRDefault="00680F26" w:rsidP="00680F26">
      <w:pPr>
        <w:pStyle w:val="Paragraphedeliste"/>
        <w:numPr>
          <w:ilvl w:val="0"/>
          <w:numId w:val="2"/>
        </w:numPr>
        <w:spacing w:after="160" w:line="259" w:lineRule="auto"/>
        <w:rPr>
          <w:rFonts w:ascii="Arial" w:hAnsi="Arial" w:cs="Arial"/>
        </w:rPr>
      </w:pPr>
      <w:r w:rsidRPr="00220826">
        <w:rPr>
          <w:rFonts w:eastAsia="Calibri" w:cs="Times New Roman"/>
        </w:rPr>
        <w:t xml:space="preserve">La rapidité et la fluidité du parcours fournisseur (digital), </w:t>
      </w:r>
    </w:p>
    <w:p w:rsidR="00680F26" w:rsidRPr="00220826" w:rsidRDefault="00680F26" w:rsidP="00680F26">
      <w:pPr>
        <w:pStyle w:val="Paragraphedeliste"/>
        <w:numPr>
          <w:ilvl w:val="0"/>
          <w:numId w:val="2"/>
        </w:numPr>
        <w:spacing w:after="160" w:line="259" w:lineRule="auto"/>
        <w:rPr>
          <w:rFonts w:ascii="Arial" w:hAnsi="Arial" w:cs="Arial"/>
        </w:rPr>
      </w:pPr>
      <w:r w:rsidRPr="00220826">
        <w:rPr>
          <w:rFonts w:eastAsia="Calibri" w:cs="Times New Roman"/>
        </w:rPr>
        <w:t xml:space="preserve">Le respect du délai de paiement fournisseur, </w:t>
      </w:r>
    </w:p>
    <w:p w:rsidR="00680F26" w:rsidRPr="00FC46AE" w:rsidRDefault="00680F26" w:rsidP="00680F26">
      <w:pPr>
        <w:pStyle w:val="Paragraphedeliste"/>
        <w:numPr>
          <w:ilvl w:val="0"/>
          <w:numId w:val="2"/>
        </w:numPr>
        <w:spacing w:after="160" w:line="259" w:lineRule="auto"/>
        <w:rPr>
          <w:rFonts w:ascii="Arial" w:hAnsi="Arial" w:cs="Arial"/>
        </w:rPr>
      </w:pPr>
      <w:r w:rsidRPr="00220826">
        <w:rPr>
          <w:rFonts w:eastAsia="Calibri" w:cs="Times New Roman"/>
        </w:rPr>
        <w:t>Les propositions faites pour régler plus rapidement le fournisseur (reverse factoring, escompte demandé)</w:t>
      </w:r>
      <w:r>
        <w:rPr>
          <w:rFonts w:eastAsia="Calibri" w:cs="Times New Roman"/>
        </w:rPr>
        <w:t>.</w:t>
      </w:r>
    </w:p>
    <w:p w:rsidR="00680F26" w:rsidRDefault="00680F26" w:rsidP="00680F26">
      <w:pPr>
        <w:spacing w:after="160" w:line="259" w:lineRule="auto"/>
        <w:rPr>
          <w:rFonts w:eastAsia="Calibri" w:cs="Times New Roman"/>
        </w:rPr>
      </w:pPr>
      <w:r w:rsidRPr="00220826">
        <w:rPr>
          <w:rFonts w:eastAsia="Calibri" w:cs="Times New Roman"/>
        </w:rPr>
        <w:t xml:space="preserve">Les prix des délais de paiement </w:t>
      </w:r>
      <w:r>
        <w:rPr>
          <w:rFonts w:eastAsia="Calibri" w:cs="Times New Roman"/>
        </w:rPr>
        <w:t>sont au nombre de quatre.</w:t>
      </w:r>
    </w:p>
    <w:p w:rsidR="00680F26" w:rsidRDefault="00680F26" w:rsidP="00680F26">
      <w:pPr>
        <w:spacing w:after="160" w:line="259" w:lineRule="auto"/>
        <w:rPr>
          <w:rFonts w:eastAsia="Calibri" w:cs="Times New Roman"/>
        </w:rPr>
      </w:pPr>
    </w:p>
    <w:p w:rsidR="00680F26" w:rsidRPr="00FC46AE" w:rsidRDefault="00680F26" w:rsidP="00680F26">
      <w:pPr>
        <w:spacing w:after="160" w:line="259" w:lineRule="auto"/>
        <w:rPr>
          <w:rFonts w:eastAsia="Calibri" w:cs="Times New Roman"/>
          <w:b/>
          <w:i/>
          <w:u w:val="single"/>
        </w:rPr>
      </w:pPr>
      <w:r w:rsidRPr="00FC46AE">
        <w:rPr>
          <w:rFonts w:eastAsia="Calibri" w:cs="Times New Roman"/>
          <w:b/>
          <w:i/>
          <w:u w:val="single"/>
        </w:rPr>
        <w:t>Prix 1 – gestion de la relation financière fournisseur</w:t>
      </w:r>
    </w:p>
    <w:p w:rsidR="00680F26" w:rsidRPr="00BF4EDF" w:rsidRDefault="00680F26" w:rsidP="00680F26">
      <w:pPr>
        <w:spacing w:after="160" w:line="259" w:lineRule="auto"/>
        <w:rPr>
          <w:rFonts w:eastAsia="Calibri" w:cs="Times New Roman"/>
        </w:rPr>
      </w:pPr>
      <w:r w:rsidRPr="00BF4EDF">
        <w:rPr>
          <w:rFonts w:eastAsia="Calibri" w:cs="Times New Roman"/>
        </w:rPr>
        <w:t>Ce prix récompense les initiatives mis</w:t>
      </w:r>
      <w:r>
        <w:rPr>
          <w:rFonts w:eastAsia="Calibri" w:cs="Times New Roman"/>
        </w:rPr>
        <w:t>es</w:t>
      </w:r>
      <w:r w:rsidRPr="00BF4EDF">
        <w:rPr>
          <w:rFonts w:eastAsia="Calibri" w:cs="Times New Roman"/>
        </w:rPr>
        <w:t xml:space="preserve"> en place pour faciliter la relation fournisseur - exemple : portail fournisseur, hotline, contrat, maquette de présentation de facture pour éviter les litiges administratifs, points de contact dans l’entreprise (acheteur, fournisseur, </w:t>
      </w:r>
      <w:proofErr w:type="gramStart"/>
      <w:r w:rsidRPr="00BF4EDF">
        <w:rPr>
          <w:rFonts w:eastAsia="Calibri" w:cs="Times New Roman"/>
        </w:rPr>
        <w:t>valideur)…</w:t>
      </w:r>
      <w:proofErr w:type="gramEnd"/>
    </w:p>
    <w:p w:rsidR="00680F26" w:rsidRPr="00FC46AE" w:rsidRDefault="00680F26" w:rsidP="00680F26">
      <w:pPr>
        <w:spacing w:after="160" w:line="259" w:lineRule="auto"/>
        <w:rPr>
          <w:rFonts w:eastAsia="Calibri" w:cs="Times New Roman"/>
          <w:b/>
          <w:i/>
          <w:u w:val="single"/>
        </w:rPr>
      </w:pPr>
      <w:r w:rsidRPr="00FC46AE">
        <w:rPr>
          <w:rFonts w:eastAsia="Calibri" w:cs="Times New Roman"/>
          <w:b/>
          <w:i/>
          <w:u w:val="single"/>
        </w:rPr>
        <w:t>Prix 2</w:t>
      </w:r>
      <w:r w:rsidR="00507E74">
        <w:rPr>
          <w:rFonts w:eastAsia="Calibri" w:cs="Times New Roman"/>
          <w:b/>
          <w:i/>
          <w:u w:val="single"/>
        </w:rPr>
        <w:t xml:space="preserve"> </w:t>
      </w:r>
      <w:bookmarkStart w:id="0" w:name="_GoBack"/>
      <w:bookmarkEnd w:id="0"/>
      <w:r w:rsidR="00507E74" w:rsidRPr="00FC46AE">
        <w:rPr>
          <w:rFonts w:eastAsia="Calibri" w:cs="Times New Roman"/>
          <w:b/>
          <w:i/>
          <w:u w:val="single"/>
        </w:rPr>
        <w:t>–</w:t>
      </w:r>
      <w:r w:rsidR="00507E74">
        <w:rPr>
          <w:rFonts w:eastAsia="Calibri" w:cs="Times New Roman"/>
          <w:b/>
          <w:i/>
          <w:u w:val="single"/>
        </w:rPr>
        <w:t xml:space="preserve"> </w:t>
      </w:r>
      <w:r w:rsidRPr="00FC46AE">
        <w:rPr>
          <w:rFonts w:eastAsia="Calibri" w:cs="Times New Roman"/>
          <w:b/>
          <w:i/>
          <w:u w:val="single"/>
        </w:rPr>
        <w:t>optimisation du circuit de validation</w:t>
      </w:r>
    </w:p>
    <w:p w:rsidR="00680F26" w:rsidRPr="00BF4EDF" w:rsidRDefault="00680F26" w:rsidP="00680F26">
      <w:pPr>
        <w:spacing w:after="160" w:line="259" w:lineRule="auto"/>
        <w:rPr>
          <w:rFonts w:eastAsia="Calibri" w:cs="Times New Roman"/>
        </w:rPr>
      </w:pPr>
      <w:r w:rsidRPr="00BF4EDF">
        <w:rPr>
          <w:rFonts w:eastAsia="Calibri" w:cs="Times New Roman"/>
        </w:rPr>
        <w:t>Ce prix récompense les initiatives mis</w:t>
      </w:r>
      <w:r>
        <w:rPr>
          <w:rFonts w:eastAsia="Calibri" w:cs="Times New Roman"/>
        </w:rPr>
        <w:t>es</w:t>
      </w:r>
      <w:r w:rsidRPr="00BF4EDF">
        <w:rPr>
          <w:rFonts w:eastAsia="Calibri" w:cs="Times New Roman"/>
        </w:rPr>
        <w:t xml:space="preserve"> en place pour faciliter la validation de la facture – exemple : dématérialisation de la facture, du bon de commande et de l’information de paiement, workflow précis pour le fournisseur et suivi possible du parcours de la facture…</w:t>
      </w:r>
    </w:p>
    <w:p w:rsidR="00680F26" w:rsidRPr="00FC46AE" w:rsidRDefault="00680F26" w:rsidP="00680F26">
      <w:pPr>
        <w:spacing w:after="160" w:line="259" w:lineRule="auto"/>
        <w:rPr>
          <w:rFonts w:eastAsia="Calibri" w:cs="Times New Roman"/>
          <w:b/>
          <w:i/>
          <w:u w:val="single"/>
        </w:rPr>
      </w:pPr>
      <w:r w:rsidRPr="00FC46AE">
        <w:rPr>
          <w:rFonts w:eastAsia="Calibri" w:cs="Times New Roman"/>
          <w:b/>
          <w:i/>
          <w:u w:val="single"/>
        </w:rPr>
        <w:t>Prix 3 – l’information du litige et sa résolution</w:t>
      </w:r>
    </w:p>
    <w:p w:rsidR="00680F26" w:rsidRPr="00BF4EDF" w:rsidRDefault="00680F26" w:rsidP="00680F26">
      <w:pPr>
        <w:spacing w:after="160" w:line="259" w:lineRule="auto"/>
        <w:rPr>
          <w:rFonts w:eastAsia="Calibri" w:cs="Times New Roman"/>
        </w:rPr>
      </w:pPr>
      <w:r w:rsidRPr="00BF4EDF">
        <w:rPr>
          <w:rFonts w:eastAsia="Calibri" w:cs="Times New Roman"/>
        </w:rPr>
        <w:t>Ce prix récompense les initiatives mis</w:t>
      </w:r>
      <w:r>
        <w:rPr>
          <w:rFonts w:eastAsia="Calibri" w:cs="Times New Roman"/>
        </w:rPr>
        <w:t>es</w:t>
      </w:r>
      <w:r w:rsidRPr="00BF4EDF">
        <w:rPr>
          <w:rFonts w:eastAsia="Calibri" w:cs="Times New Roman"/>
        </w:rPr>
        <w:t xml:space="preserve"> en place pour faciliter la résolution du litige – exemple : information précise du litige détecté vers le fournisseur, plateforme d’échange, paiement partiel …</w:t>
      </w:r>
    </w:p>
    <w:p w:rsidR="00680F26" w:rsidRPr="00FC46AE" w:rsidRDefault="00680F26" w:rsidP="00680F26">
      <w:pPr>
        <w:spacing w:after="160" w:line="259" w:lineRule="auto"/>
        <w:rPr>
          <w:rFonts w:eastAsia="Calibri" w:cs="Times New Roman"/>
          <w:b/>
          <w:i/>
          <w:u w:val="single"/>
        </w:rPr>
      </w:pPr>
      <w:r w:rsidRPr="00FC46AE">
        <w:rPr>
          <w:rFonts w:eastAsia="Calibri" w:cs="Times New Roman"/>
          <w:b/>
          <w:i/>
          <w:u w:val="single"/>
        </w:rPr>
        <w:t>Prix 4 – le paiement et/ou l’aide au financement</w:t>
      </w:r>
    </w:p>
    <w:p w:rsidR="00680F26" w:rsidRDefault="00680F26" w:rsidP="00680F26">
      <w:pPr>
        <w:spacing w:after="160" w:line="259" w:lineRule="auto"/>
        <w:rPr>
          <w:rFonts w:eastAsia="Calibri" w:cs="Times New Roman"/>
        </w:rPr>
      </w:pPr>
      <w:r w:rsidRPr="00BF4EDF">
        <w:rPr>
          <w:rFonts w:eastAsia="Calibri" w:cs="Times New Roman"/>
        </w:rPr>
        <w:t>Ce prix récompense les initiatives mis</w:t>
      </w:r>
      <w:r>
        <w:rPr>
          <w:rFonts w:eastAsia="Calibri" w:cs="Times New Roman"/>
        </w:rPr>
        <w:t>es</w:t>
      </w:r>
      <w:r w:rsidRPr="00BF4EDF">
        <w:rPr>
          <w:rFonts w:eastAsia="Calibri" w:cs="Times New Roman"/>
        </w:rPr>
        <w:t xml:space="preserve"> en place pour faciliter un paiement par anticipation du</w:t>
      </w:r>
      <w:r>
        <w:rPr>
          <w:rFonts w:eastAsia="Calibri" w:cs="Times New Roman"/>
        </w:rPr>
        <w:t xml:space="preserve"> </w:t>
      </w:r>
      <w:r w:rsidRPr="00BF4EDF">
        <w:rPr>
          <w:rFonts w:eastAsia="Calibri" w:cs="Times New Roman"/>
        </w:rPr>
        <w:t>fournisseur : acompte, reverse factoring, instant paiement…</w:t>
      </w:r>
    </w:p>
    <w:p w:rsidR="00680F26" w:rsidRDefault="00680F26" w:rsidP="00680F26">
      <w:pPr>
        <w:spacing w:after="160" w:line="259" w:lineRule="auto"/>
        <w:rPr>
          <w:rFonts w:eastAsia="Calibri" w:cs="Times New Roman"/>
        </w:rPr>
      </w:pPr>
    </w:p>
    <w:p w:rsidR="00680F26" w:rsidRDefault="00680F26" w:rsidP="00680F26">
      <w:pPr>
        <w:pStyle w:val="Titre3"/>
        <w:rPr>
          <w:rFonts w:eastAsia="Calibri"/>
          <w:sz w:val="28"/>
          <w:szCs w:val="28"/>
        </w:rPr>
      </w:pPr>
    </w:p>
    <w:p w:rsidR="00680F26" w:rsidRDefault="00680F26" w:rsidP="00680F26">
      <w:pPr>
        <w:pStyle w:val="Titre3"/>
        <w:rPr>
          <w:rFonts w:eastAsia="Calibri"/>
          <w:sz w:val="28"/>
          <w:szCs w:val="28"/>
        </w:rPr>
      </w:pPr>
    </w:p>
    <w:p w:rsidR="00680F26" w:rsidRDefault="00680F26" w:rsidP="00680F26">
      <w:pPr>
        <w:pStyle w:val="Titre3"/>
        <w:rPr>
          <w:rFonts w:eastAsia="Calibri"/>
          <w:sz w:val="28"/>
          <w:szCs w:val="28"/>
        </w:rPr>
      </w:pPr>
    </w:p>
    <w:p w:rsidR="00680F26" w:rsidRPr="00324DB5" w:rsidRDefault="00680F26" w:rsidP="00680F26">
      <w:pPr>
        <w:pStyle w:val="Titre3"/>
        <w:rPr>
          <w:rFonts w:eastAsia="Calibri"/>
          <w:sz w:val="28"/>
          <w:szCs w:val="28"/>
        </w:rPr>
      </w:pPr>
      <w:r w:rsidRPr="00324DB5">
        <w:rPr>
          <w:rFonts w:eastAsia="Calibri"/>
          <w:sz w:val="28"/>
          <w:szCs w:val="28"/>
        </w:rPr>
        <w:t xml:space="preserve">Présentation des tables rondes </w:t>
      </w:r>
    </w:p>
    <w:p w:rsidR="00680F26" w:rsidRDefault="00680F26" w:rsidP="00680F26">
      <w:pPr>
        <w:spacing w:after="160" w:line="259" w:lineRule="auto"/>
        <w:rPr>
          <w:rFonts w:eastAsia="Calibri" w:cs="Times New Roman"/>
        </w:rPr>
      </w:pPr>
    </w:p>
    <w:p w:rsidR="00680F26" w:rsidRDefault="00680F26" w:rsidP="00680F26">
      <w:pPr>
        <w:spacing w:after="160" w:line="259" w:lineRule="auto"/>
        <w:rPr>
          <w:rFonts w:eastAsia="Calibri" w:cs="Times New Roman"/>
          <w:b/>
        </w:rPr>
      </w:pPr>
      <w:r w:rsidRPr="006E402E">
        <w:rPr>
          <w:rFonts w:eastAsia="Calibri" w:cs="Times New Roman"/>
          <w:b/>
        </w:rPr>
        <w:t>Table ronde 1 : panorama des délais de paiement</w:t>
      </w:r>
    </w:p>
    <w:p w:rsidR="00680F26" w:rsidRDefault="00680F26" w:rsidP="00680F26">
      <w:pPr>
        <w:spacing w:after="160" w:line="259" w:lineRule="auto"/>
        <w:rPr>
          <w:rFonts w:eastAsia="Calibri" w:cs="Times New Roman"/>
          <w:b/>
        </w:rPr>
      </w:pPr>
      <w:r>
        <w:rPr>
          <w:rFonts w:eastAsia="Calibri" w:cs="Times New Roman"/>
          <w:b/>
        </w:rPr>
        <w:t>Les intervenants traceront, chiffres à l’appui, les contours de la situation des délais de paiement en France. Ils communiqueront sur les signaux faibles et les signes positifs qu’ils perçoivent au travers de leurs études respectives.</w:t>
      </w:r>
    </w:p>
    <w:p w:rsidR="00680F26" w:rsidRDefault="00680F26" w:rsidP="00680F26">
      <w:pPr>
        <w:spacing w:after="160" w:line="259" w:lineRule="auto"/>
        <w:rPr>
          <w:rFonts w:eastAsia="Calibri" w:cs="Times New Roman"/>
        </w:rPr>
      </w:pPr>
      <w:r>
        <w:rPr>
          <w:rFonts w:eastAsia="Calibri" w:cs="Times New Roman"/>
        </w:rPr>
        <w:t xml:space="preserve">Thierry Millon, </w:t>
      </w:r>
      <w:r w:rsidRPr="006E402E">
        <w:rPr>
          <w:rFonts w:eastAsia="Calibri" w:cs="Times New Roman"/>
        </w:rPr>
        <w:t xml:space="preserve">Directeur des études Altares Dun &amp; </w:t>
      </w:r>
      <w:proofErr w:type="spellStart"/>
      <w:r w:rsidRPr="006E402E">
        <w:rPr>
          <w:rFonts w:eastAsia="Calibri" w:cs="Times New Roman"/>
        </w:rPr>
        <w:t>Bradstreet</w:t>
      </w:r>
      <w:proofErr w:type="spellEnd"/>
      <w:r>
        <w:rPr>
          <w:rFonts w:eastAsia="Calibri" w:cs="Times New Roman"/>
        </w:rPr>
        <w:t>, présentera et analysera les principales tendances économiques autour des délais de paiement et de l’évolution des principaux indicateurs</w:t>
      </w:r>
    </w:p>
    <w:p w:rsidR="00680F26" w:rsidRDefault="00680F26" w:rsidP="00680F26">
      <w:pPr>
        <w:spacing w:after="160" w:line="259" w:lineRule="auto"/>
        <w:rPr>
          <w:rFonts w:eastAsia="Calibri" w:cs="Times New Roman"/>
        </w:rPr>
      </w:pPr>
      <w:r w:rsidRPr="006E402E">
        <w:rPr>
          <w:rFonts w:eastAsia="Calibri" w:cs="Times New Roman"/>
        </w:rPr>
        <w:t>Jeann</w:t>
      </w:r>
      <w:r>
        <w:rPr>
          <w:rFonts w:eastAsia="Calibri" w:cs="Times New Roman"/>
        </w:rPr>
        <w:t>e</w:t>
      </w:r>
      <w:r w:rsidRPr="006E402E">
        <w:rPr>
          <w:rFonts w:eastAsia="Calibri" w:cs="Times New Roman"/>
        </w:rPr>
        <w:t xml:space="preserve">-Marie </w:t>
      </w:r>
      <w:r>
        <w:rPr>
          <w:rFonts w:eastAsia="Calibri" w:cs="Times New Roman"/>
        </w:rPr>
        <w:t xml:space="preserve">Prost, présidente de l’Observatoire des délais de paiement, livrera et commentera </w:t>
      </w:r>
      <w:r w:rsidR="00D4359E">
        <w:rPr>
          <w:rFonts w:eastAsia="Calibri" w:cs="Times New Roman"/>
        </w:rPr>
        <w:t>le rapport</w:t>
      </w:r>
      <w:r>
        <w:rPr>
          <w:rFonts w:eastAsia="Calibri" w:cs="Times New Roman"/>
        </w:rPr>
        <w:t xml:space="preserve"> 2019.</w:t>
      </w:r>
    </w:p>
    <w:p w:rsidR="00680F26" w:rsidRDefault="00680F26" w:rsidP="00680F26">
      <w:pPr>
        <w:spacing w:after="160" w:line="259" w:lineRule="auto"/>
        <w:rPr>
          <w:rFonts w:eastAsia="Calibri" w:cs="Times New Roman"/>
        </w:rPr>
      </w:pPr>
      <w:r>
        <w:rPr>
          <w:rFonts w:eastAsia="Calibri" w:cs="Times New Roman"/>
        </w:rPr>
        <w:t xml:space="preserve">Pierre </w:t>
      </w:r>
      <w:proofErr w:type="spellStart"/>
      <w:r>
        <w:rPr>
          <w:rFonts w:eastAsia="Calibri" w:cs="Times New Roman"/>
        </w:rPr>
        <w:t>Pelouzet</w:t>
      </w:r>
      <w:proofErr w:type="spellEnd"/>
      <w:r>
        <w:rPr>
          <w:rFonts w:eastAsia="Calibri" w:cs="Times New Roman"/>
        </w:rPr>
        <w:t xml:space="preserve">, Médiateur des entreprises, rappellera les contours de </w:t>
      </w:r>
      <w:r w:rsidRPr="00324DB5">
        <w:rPr>
          <w:rFonts w:eastAsia="Calibri" w:cs="Times New Roman"/>
        </w:rPr>
        <w:t xml:space="preserve">la Charte &amp; </w:t>
      </w:r>
      <w:r>
        <w:rPr>
          <w:rFonts w:eastAsia="Calibri" w:cs="Times New Roman"/>
        </w:rPr>
        <w:t xml:space="preserve">du </w:t>
      </w:r>
      <w:r w:rsidRPr="00324DB5">
        <w:rPr>
          <w:rFonts w:eastAsia="Calibri" w:cs="Times New Roman"/>
        </w:rPr>
        <w:t xml:space="preserve">Label </w:t>
      </w:r>
      <w:r w:rsidR="003C325B">
        <w:rPr>
          <w:rFonts w:eastAsia="Calibri" w:cs="Times New Roman"/>
        </w:rPr>
        <w:t>« </w:t>
      </w:r>
      <w:r w:rsidRPr="00324DB5">
        <w:rPr>
          <w:rFonts w:eastAsia="Calibri" w:cs="Times New Roman"/>
        </w:rPr>
        <w:t>Relations Fournisseurs Responsables</w:t>
      </w:r>
      <w:r w:rsidR="003C325B">
        <w:rPr>
          <w:rFonts w:eastAsia="Calibri" w:cs="Times New Roman"/>
        </w:rPr>
        <w:t> »</w:t>
      </w:r>
      <w:r>
        <w:rPr>
          <w:rFonts w:eastAsia="Calibri" w:cs="Times New Roman"/>
        </w:rPr>
        <w:t xml:space="preserve">. Il </w:t>
      </w:r>
      <w:r w:rsidR="00D4359E">
        <w:rPr>
          <w:rFonts w:eastAsia="Calibri" w:cs="Times New Roman"/>
        </w:rPr>
        <w:t>fera</w:t>
      </w:r>
      <w:r>
        <w:rPr>
          <w:rFonts w:eastAsia="Calibri" w:cs="Times New Roman"/>
        </w:rPr>
        <w:t xml:space="preserve"> un état des lieux </w:t>
      </w:r>
      <w:r w:rsidR="00D4359E">
        <w:rPr>
          <w:rFonts w:eastAsia="Calibri" w:cs="Times New Roman"/>
        </w:rPr>
        <w:t xml:space="preserve">du </w:t>
      </w:r>
      <w:r>
        <w:rPr>
          <w:rFonts w:eastAsia="Calibri" w:cs="Times New Roman"/>
        </w:rPr>
        <w:t>nombre de</w:t>
      </w:r>
      <w:r w:rsidR="00D4359E">
        <w:rPr>
          <w:rFonts w:eastAsia="Calibri" w:cs="Times New Roman"/>
        </w:rPr>
        <w:t xml:space="preserve"> chartes signés et de labels attribués</w:t>
      </w:r>
      <w:r>
        <w:rPr>
          <w:rFonts w:eastAsia="Calibri" w:cs="Times New Roman"/>
        </w:rPr>
        <w:t>.</w:t>
      </w:r>
    </w:p>
    <w:p w:rsidR="00680F26" w:rsidRDefault="00680F26" w:rsidP="00680F26">
      <w:pPr>
        <w:spacing w:after="160" w:line="259" w:lineRule="auto"/>
        <w:rPr>
          <w:rFonts w:eastAsia="Calibri" w:cs="Times New Roman"/>
        </w:rPr>
      </w:pPr>
    </w:p>
    <w:p w:rsidR="00680F26" w:rsidRPr="00E02823" w:rsidRDefault="00680F26" w:rsidP="00680F26">
      <w:pPr>
        <w:spacing w:after="160" w:line="259" w:lineRule="auto"/>
        <w:rPr>
          <w:rFonts w:eastAsia="Calibri" w:cs="Times New Roman"/>
          <w:b/>
        </w:rPr>
      </w:pPr>
      <w:r w:rsidRPr="0050506E">
        <w:rPr>
          <w:rFonts w:eastAsia="Calibri" w:cs="Times New Roman"/>
          <w:b/>
          <w:bCs/>
        </w:rPr>
        <w:t>Table ronde 2</w:t>
      </w:r>
      <w:r w:rsidRPr="00E02823">
        <w:rPr>
          <w:rFonts w:eastAsia="Calibri" w:cs="Times New Roman"/>
          <w:b/>
        </w:rPr>
        <w:t xml:space="preserve"> : L’innovation au service des délais de paiement </w:t>
      </w:r>
    </w:p>
    <w:p w:rsidR="00680F26" w:rsidRPr="003C325B" w:rsidRDefault="00680F26" w:rsidP="00680F26">
      <w:pPr>
        <w:spacing w:after="160" w:line="259" w:lineRule="auto"/>
        <w:jc w:val="both"/>
      </w:pPr>
      <w:r>
        <w:rPr>
          <w:rFonts w:eastAsia="Calibri" w:cs="Times New Roman"/>
        </w:rPr>
        <w:t>Des intervenants</w:t>
      </w:r>
      <w:r w:rsidR="003C325B">
        <w:rPr>
          <w:rFonts w:eastAsia="Calibri" w:cs="Times New Roman"/>
        </w:rPr>
        <w:t xml:space="preserve"> </w:t>
      </w:r>
      <w:r>
        <w:t>spécialisé</w:t>
      </w:r>
      <w:r w:rsidR="006A3534">
        <w:t>s</w:t>
      </w:r>
      <w:r w:rsidR="003C325B">
        <w:t xml:space="preserve">, notamment </w:t>
      </w:r>
      <w:r>
        <w:t>dans l'automatisation des processus documentaires et dans la dématérialisation des documents de gestion</w:t>
      </w:r>
      <w:r w:rsidR="003C325B">
        <w:t>,</w:t>
      </w:r>
      <w:r w:rsidR="003C325B">
        <w:rPr>
          <w:rFonts w:eastAsia="Calibri" w:cs="Times New Roman"/>
        </w:rPr>
        <w:t xml:space="preserve"> </w:t>
      </w:r>
      <w:r>
        <w:rPr>
          <w:rFonts w:eastAsia="Calibri" w:cs="Times New Roman"/>
        </w:rPr>
        <w:t xml:space="preserve">traiteront des enjeux autour des solutions technologiques et des modes d’intégration favorisant </w:t>
      </w:r>
      <w:r w:rsidRPr="0050506E">
        <w:rPr>
          <w:rFonts w:eastAsia="Calibri" w:cs="Times New Roman"/>
        </w:rPr>
        <w:t>une meilleure fluidité des processus de règlement et une résolution plus rapide des points de blocage.</w:t>
      </w:r>
    </w:p>
    <w:p w:rsidR="00680F26" w:rsidRPr="00E02823" w:rsidRDefault="00680F26" w:rsidP="00680F26">
      <w:pPr>
        <w:spacing w:after="160" w:line="259" w:lineRule="auto"/>
        <w:rPr>
          <w:rFonts w:eastAsia="Calibri" w:cs="Times New Roman"/>
          <w:b/>
        </w:rPr>
      </w:pPr>
      <w:r w:rsidRPr="0050506E">
        <w:rPr>
          <w:rFonts w:eastAsia="Calibri" w:cs="Times New Roman"/>
          <w:b/>
          <w:bCs/>
        </w:rPr>
        <w:t xml:space="preserve">Table ronde </w:t>
      </w:r>
      <w:r>
        <w:rPr>
          <w:rFonts w:eastAsia="Calibri" w:cs="Times New Roman"/>
          <w:b/>
          <w:bCs/>
        </w:rPr>
        <w:t>3</w:t>
      </w:r>
      <w:r w:rsidRPr="00E02823">
        <w:rPr>
          <w:rFonts w:eastAsia="Calibri" w:cs="Times New Roman"/>
          <w:b/>
        </w:rPr>
        <w:t xml:space="preserve"> : </w:t>
      </w:r>
      <w:r>
        <w:rPr>
          <w:rFonts w:eastAsia="Calibri" w:cs="Times New Roman"/>
          <w:b/>
        </w:rPr>
        <w:t xml:space="preserve">Bonnes et mauvaises pratiques en matière de paiement fournisseur </w:t>
      </w:r>
      <w:r w:rsidRPr="00E02823">
        <w:rPr>
          <w:rFonts w:eastAsia="Calibri" w:cs="Times New Roman"/>
          <w:b/>
        </w:rPr>
        <w:t xml:space="preserve"> </w:t>
      </w:r>
    </w:p>
    <w:p w:rsidR="00680F26" w:rsidRDefault="00680F26" w:rsidP="00680F26">
      <w:pPr>
        <w:spacing w:after="160" w:line="259" w:lineRule="auto"/>
        <w:jc w:val="both"/>
        <w:rPr>
          <w:rFonts w:eastAsia="Calibri" w:cs="Times New Roman"/>
        </w:rPr>
      </w:pPr>
      <w:r>
        <w:rPr>
          <w:rFonts w:eastAsia="Calibri" w:cs="Times New Roman"/>
        </w:rPr>
        <w:t>Des représentant</w:t>
      </w:r>
      <w:r w:rsidR="00D4359E">
        <w:rPr>
          <w:rFonts w:eastAsia="Calibri" w:cs="Times New Roman"/>
        </w:rPr>
        <w:t>s</w:t>
      </w:r>
      <w:r>
        <w:rPr>
          <w:rFonts w:eastAsia="Calibri" w:cs="Times New Roman"/>
        </w:rPr>
        <w:t xml:space="preserve"> de la FIGEC</w:t>
      </w:r>
      <w:r w:rsidR="00D4359E">
        <w:rPr>
          <w:rFonts w:eastAsia="Calibri" w:cs="Times New Roman"/>
        </w:rPr>
        <w:t xml:space="preserve"> et d’autres spécialistes </w:t>
      </w:r>
      <w:r>
        <w:rPr>
          <w:rFonts w:eastAsia="Calibri" w:cs="Times New Roman"/>
        </w:rPr>
        <w:t>livreront quelques bonnes et mauvaises pratiques en matière de paiement fournisseur. Ils interviendront autour des signaux faibles émis par des entreprises en difficulté et sur les moyens pour les détecter ainsi que sur les méthodes pour qualifier des mauvais comportements et leurs apporter des réponses rapides et opérationnelles.</w:t>
      </w:r>
    </w:p>
    <w:p w:rsidR="008933B2" w:rsidRDefault="008933B2"/>
    <w:sectPr w:rsidR="00893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464C8"/>
    <w:multiLevelType w:val="hybridMultilevel"/>
    <w:tmpl w:val="2B000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A853C5"/>
    <w:multiLevelType w:val="hybridMultilevel"/>
    <w:tmpl w:val="0D44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26"/>
    <w:rsid w:val="002C3ECB"/>
    <w:rsid w:val="003C325B"/>
    <w:rsid w:val="0046278C"/>
    <w:rsid w:val="00507E74"/>
    <w:rsid w:val="00680F26"/>
    <w:rsid w:val="006A3534"/>
    <w:rsid w:val="008933B2"/>
    <w:rsid w:val="00D43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C5D6"/>
  <w15:chartTrackingRefBased/>
  <w15:docId w15:val="{B38C52CE-4832-4347-830E-2D38979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26"/>
    <w:pPr>
      <w:spacing w:after="200" w:line="276" w:lineRule="auto"/>
    </w:pPr>
    <w:rPr>
      <w:rFonts w:ascii="Calibri" w:eastAsia="Times New Roman" w:hAnsi="Calibri" w:cs="Calibri"/>
    </w:rPr>
  </w:style>
  <w:style w:type="paragraph" w:styleId="Titre1">
    <w:name w:val="heading 1"/>
    <w:basedOn w:val="Normal"/>
    <w:next w:val="Normal"/>
    <w:link w:val="Titre1Car"/>
    <w:uiPriority w:val="9"/>
    <w:qFormat/>
    <w:rsid w:val="00680F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80F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80F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F2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80F2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80F26"/>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680F26"/>
    <w:pPr>
      <w:ind w:left="720"/>
      <w:contextualSpacing/>
    </w:pPr>
  </w:style>
  <w:style w:type="character" w:customStyle="1" w:styleId="st">
    <w:name w:val="st"/>
    <w:basedOn w:val="Policepardfaut"/>
    <w:rsid w:val="0068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2991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3</cp:revision>
  <cp:lastPrinted>2019-03-07T10:06:00Z</cp:lastPrinted>
  <dcterms:created xsi:type="dcterms:W3CDTF">2019-03-12T08:15:00Z</dcterms:created>
  <dcterms:modified xsi:type="dcterms:W3CDTF">2019-03-26T09:09:00Z</dcterms:modified>
</cp:coreProperties>
</file>