
<file path=[Content_Types].xml><?xml version="1.0" encoding="utf-8"?>
<Types xmlns="http://schemas.openxmlformats.org/package/2006/content-types">
  <Default Extension="doc" ContentType="application/msword"/>
  <Default Extension="emf" ContentType="image/x-emf"/>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081F0" w14:textId="4F5203B2" w:rsidR="00A14BDD" w:rsidRPr="006320E1" w:rsidRDefault="00A14BDD" w:rsidP="006320E1">
      <w:pPr>
        <w:shd w:val="clear" w:color="auto" w:fill="D9D9D9" w:themeFill="background1" w:themeFillShade="D9"/>
        <w:jc w:val="center"/>
        <w:rPr>
          <w:b/>
          <w:bCs/>
          <w:color w:val="156082" w:themeColor="accent1"/>
          <w:sz w:val="36"/>
          <w:szCs w:val="36"/>
          <w:lang w:eastAsia="fr-FR"/>
        </w:rPr>
      </w:pPr>
      <w:bookmarkStart w:id="0" w:name="_Hlk104373199"/>
      <w:r w:rsidRPr="00A22B9E">
        <w:rPr>
          <w:b/>
          <w:bCs/>
          <w:color w:val="156082" w:themeColor="accent1"/>
          <w:sz w:val="36"/>
          <w:szCs w:val="36"/>
          <w:lang w:eastAsia="fr-FR"/>
        </w:rPr>
        <w:t xml:space="preserve">NEWSLETTER JURIDIQUE : </w:t>
      </w:r>
      <w:r w:rsidR="00C3632B">
        <w:rPr>
          <w:b/>
          <w:bCs/>
          <w:color w:val="156082" w:themeColor="accent1"/>
          <w:sz w:val="36"/>
          <w:szCs w:val="36"/>
          <w:lang w:eastAsia="fr-FR"/>
        </w:rPr>
        <w:t>OCTOBRE</w:t>
      </w:r>
      <w:r w:rsidR="006C4E5F">
        <w:rPr>
          <w:b/>
          <w:bCs/>
          <w:color w:val="156082" w:themeColor="accent1"/>
          <w:sz w:val="36"/>
          <w:szCs w:val="36"/>
          <w:lang w:eastAsia="fr-FR"/>
        </w:rPr>
        <w:t xml:space="preserve"> </w:t>
      </w:r>
      <w:r>
        <w:rPr>
          <w:b/>
          <w:bCs/>
          <w:color w:val="156082" w:themeColor="accent1"/>
          <w:sz w:val="36"/>
          <w:szCs w:val="36"/>
          <w:lang w:eastAsia="fr-FR"/>
        </w:rPr>
        <w:t>2026</w:t>
      </w:r>
    </w:p>
    <w:p w14:paraId="286919E7" w14:textId="3FA6C470" w:rsidR="00615A9F" w:rsidRPr="006320E1" w:rsidRDefault="00A14BDD" w:rsidP="00615A9F">
      <w:pPr>
        <w:pStyle w:val="Paragraphedeliste"/>
        <w:numPr>
          <w:ilvl w:val="0"/>
          <w:numId w:val="3"/>
        </w:numPr>
        <w:spacing w:line="240" w:lineRule="auto"/>
        <w:jc w:val="center"/>
        <w:rPr>
          <w:b/>
          <w:bCs/>
          <w:color w:val="156082" w:themeColor="accent1"/>
          <w:sz w:val="28"/>
          <w:szCs w:val="28"/>
          <w:u w:val="single"/>
          <w:lang w:eastAsia="fr-FR"/>
        </w:rPr>
      </w:pPr>
      <w:r w:rsidRPr="00BC4F5F">
        <w:rPr>
          <w:b/>
          <w:bCs/>
          <w:color w:val="156082" w:themeColor="accent1"/>
          <w:sz w:val="28"/>
          <w:szCs w:val="28"/>
          <w:u w:val="single"/>
          <w:lang w:eastAsia="fr-FR"/>
        </w:rPr>
        <w:t>ACTUALITES :</w:t>
      </w:r>
    </w:p>
    <w:p w14:paraId="13021360" w14:textId="77777777" w:rsidR="00E472C1" w:rsidRPr="00E472C1" w:rsidRDefault="00E472C1" w:rsidP="00844E05">
      <w:pPr>
        <w:pStyle w:val="Sansinterligne"/>
        <w:ind w:left="720"/>
        <w:rPr>
          <w:rFonts w:ascii="Tahoma" w:hAnsi="Tahoma" w:cs="Tahoma"/>
          <w:b/>
          <w:bCs/>
          <w:i/>
          <w:iCs/>
          <w:color w:val="FF0000"/>
          <w:sz w:val="24"/>
          <w:szCs w:val="24"/>
        </w:rPr>
      </w:pPr>
    </w:p>
    <w:p w14:paraId="28310105" w14:textId="77777777" w:rsidR="00725219" w:rsidRPr="00725219" w:rsidRDefault="00725219" w:rsidP="00725219">
      <w:pPr>
        <w:pStyle w:val="Sansinterligne"/>
        <w:numPr>
          <w:ilvl w:val="0"/>
          <w:numId w:val="1"/>
        </w:numPr>
        <w:rPr>
          <w:rFonts w:ascii="Tahoma" w:hAnsi="Tahoma" w:cs="Tahoma"/>
          <w:b/>
          <w:bCs/>
          <w:i/>
          <w:iCs/>
          <w:color w:val="FF0000"/>
          <w:sz w:val="24"/>
          <w:szCs w:val="24"/>
        </w:rPr>
      </w:pPr>
      <w:r w:rsidRPr="00725219">
        <w:rPr>
          <w:rFonts w:ascii="Tahoma" w:hAnsi="Tahoma" w:cs="Tahoma"/>
          <w:b/>
          <w:bCs/>
          <w:i/>
          <w:iCs/>
          <w:color w:val="FF0000"/>
          <w:sz w:val="24"/>
          <w:szCs w:val="24"/>
        </w:rPr>
        <w:t>Plafond de la Sécurité sociale pour 2027 </w:t>
      </w:r>
    </w:p>
    <w:p w14:paraId="5F2C118E" w14:textId="77777777" w:rsidR="00C3632B" w:rsidRDefault="00C3632B" w:rsidP="00C3632B">
      <w:pPr>
        <w:pStyle w:val="Sansinterligne"/>
        <w:rPr>
          <w:rFonts w:ascii="Tahoma" w:hAnsi="Tahoma" w:cs="Tahoma"/>
          <w:b/>
          <w:bCs/>
          <w:i/>
          <w:iCs/>
          <w:color w:val="FF0000"/>
          <w:sz w:val="24"/>
          <w:szCs w:val="24"/>
        </w:rPr>
      </w:pPr>
    </w:p>
    <w:p w14:paraId="09631923" w14:textId="77777777" w:rsidR="00CD3671" w:rsidRPr="00CD3671" w:rsidRDefault="00CD3671" w:rsidP="00CD3671">
      <w:pPr>
        <w:pStyle w:val="Sansinterligne"/>
        <w:jc w:val="both"/>
        <w:rPr>
          <w:rFonts w:ascii="Tahoma" w:hAnsi="Tahoma" w:cs="Tahoma"/>
          <w:sz w:val="24"/>
          <w:szCs w:val="24"/>
        </w:rPr>
      </w:pPr>
      <w:r w:rsidRPr="00CD3671">
        <w:rPr>
          <w:rFonts w:ascii="Tahoma" w:hAnsi="Tahoma" w:cs="Tahoma"/>
          <w:sz w:val="24"/>
          <w:szCs w:val="24"/>
        </w:rPr>
        <w:t xml:space="preserve">Comme annoncé par la Commission des comptes de la sécurité sociale dans son dernier rapport, le plafond de la sécurité sociale sera revalorisé à hauteur de 1,74 % au 1er janvier 2027, confirme la Direction de la sécurité sociale par un communiqué publié au BOSS le 16 octobre 2026. </w:t>
      </w:r>
    </w:p>
    <w:p w14:paraId="39C80E3C" w14:textId="4F85A676" w:rsidR="00CD3671" w:rsidRPr="00CD3671" w:rsidRDefault="00CD3671" w:rsidP="00CD3671">
      <w:pPr>
        <w:pStyle w:val="Sansinterligne"/>
        <w:jc w:val="both"/>
        <w:rPr>
          <w:rFonts w:ascii="Tahoma" w:hAnsi="Tahoma" w:cs="Tahoma"/>
          <w:sz w:val="24"/>
          <w:szCs w:val="24"/>
        </w:rPr>
      </w:pPr>
    </w:p>
    <w:p w14:paraId="71E15B73" w14:textId="77777777" w:rsidR="00CD3671" w:rsidRDefault="00CD3671" w:rsidP="00CD3671">
      <w:pPr>
        <w:pStyle w:val="Sansinterligne"/>
        <w:rPr>
          <w:rFonts w:ascii="Tahoma" w:hAnsi="Tahoma" w:cs="Tahoma"/>
          <w:sz w:val="24"/>
          <w:szCs w:val="24"/>
        </w:rPr>
      </w:pPr>
      <w:r w:rsidRPr="00CD3671">
        <w:rPr>
          <w:rFonts w:ascii="Tahoma" w:hAnsi="Tahoma" w:cs="Tahoma"/>
          <w:sz w:val="24"/>
          <w:szCs w:val="24"/>
        </w:rPr>
        <w:t>La valeur mensuelle du plafond est fixée, pour chaque année civile, à partir du plafond applicable au cours de l’année antérieure.</w:t>
      </w:r>
    </w:p>
    <w:p w14:paraId="4AD6E851" w14:textId="554FCFBD" w:rsidR="00CD3671" w:rsidRPr="00CD3671" w:rsidRDefault="00CD3671" w:rsidP="00CD3671">
      <w:pPr>
        <w:pStyle w:val="Sansinterligne"/>
        <w:rPr>
          <w:rFonts w:ascii="Tahoma" w:hAnsi="Tahoma" w:cs="Tahoma"/>
          <w:sz w:val="24"/>
          <w:szCs w:val="24"/>
        </w:rPr>
      </w:pPr>
      <w:r w:rsidRPr="00CD3671">
        <w:rPr>
          <w:rFonts w:ascii="Tahoma" w:hAnsi="Tahoma" w:cs="Tahoma"/>
          <w:sz w:val="24"/>
          <w:szCs w:val="24"/>
        </w:rPr>
        <w:br/>
        <w:t>Elle tient compte :</w:t>
      </w:r>
    </w:p>
    <w:p w14:paraId="319B4112" w14:textId="26972E3A" w:rsidR="00CD3671" w:rsidRPr="00CD3671" w:rsidRDefault="00CD3671" w:rsidP="00CD3671">
      <w:pPr>
        <w:pStyle w:val="Sansinterligne"/>
        <w:numPr>
          <w:ilvl w:val="0"/>
          <w:numId w:val="21"/>
        </w:numPr>
        <w:jc w:val="both"/>
        <w:rPr>
          <w:rFonts w:ascii="Tahoma" w:hAnsi="Tahoma" w:cs="Tahoma"/>
          <w:sz w:val="24"/>
          <w:szCs w:val="24"/>
        </w:rPr>
      </w:pPr>
      <w:r w:rsidRPr="00CD3671">
        <w:rPr>
          <w:rFonts w:ascii="Tahoma" w:hAnsi="Tahoma" w:cs="Tahoma"/>
          <w:sz w:val="24"/>
          <w:szCs w:val="24"/>
        </w:rPr>
        <w:t>de l’évolution moyenne estimée des salaires de cette année de référence prévue dans le dernier rapport sur la situation et les perspectives économiques, sociales et financières de la Nation, annexé au projet de loi de finances ;</w:t>
      </w:r>
    </w:p>
    <w:p w14:paraId="2C1C1A9E" w14:textId="5619CB68" w:rsidR="00CD3671" w:rsidRDefault="00CD3671" w:rsidP="00CD3671">
      <w:pPr>
        <w:pStyle w:val="Sansinterligne"/>
        <w:numPr>
          <w:ilvl w:val="0"/>
          <w:numId w:val="21"/>
        </w:numPr>
        <w:jc w:val="both"/>
        <w:rPr>
          <w:rFonts w:ascii="Tahoma" w:hAnsi="Tahoma" w:cs="Tahoma"/>
          <w:sz w:val="24"/>
          <w:szCs w:val="24"/>
        </w:rPr>
      </w:pPr>
      <w:r w:rsidRPr="00CD3671">
        <w:rPr>
          <w:rFonts w:ascii="Tahoma" w:hAnsi="Tahoma" w:cs="Tahoma"/>
          <w:sz w:val="24"/>
          <w:szCs w:val="24"/>
        </w:rPr>
        <w:t>le cas échéant, de la correction de l’estimation de l’évolution moyenne des salaires de l’année précédant l’année de référence figurant dans le rapport précité</w:t>
      </w:r>
      <w:r>
        <w:rPr>
          <w:rFonts w:ascii="Tahoma" w:hAnsi="Tahoma" w:cs="Tahoma"/>
          <w:sz w:val="24"/>
          <w:szCs w:val="24"/>
        </w:rPr>
        <w:t>.</w:t>
      </w:r>
    </w:p>
    <w:p w14:paraId="48CA3608" w14:textId="77777777" w:rsidR="00CD3671" w:rsidRPr="00CD3671" w:rsidRDefault="00CD3671" w:rsidP="00CD3671">
      <w:pPr>
        <w:pStyle w:val="Sansinterligne"/>
        <w:jc w:val="both"/>
        <w:rPr>
          <w:rFonts w:ascii="Tahoma" w:hAnsi="Tahoma" w:cs="Tahoma"/>
          <w:sz w:val="24"/>
          <w:szCs w:val="24"/>
        </w:rPr>
      </w:pPr>
    </w:p>
    <w:p w14:paraId="4D35F963" w14:textId="77777777" w:rsidR="00CD3671" w:rsidRDefault="00CD3671" w:rsidP="00CD3671">
      <w:pPr>
        <w:pStyle w:val="Sansinterligne"/>
        <w:jc w:val="both"/>
        <w:rPr>
          <w:rFonts w:ascii="Tahoma" w:hAnsi="Tahoma" w:cs="Tahoma"/>
          <w:sz w:val="24"/>
          <w:szCs w:val="24"/>
        </w:rPr>
      </w:pPr>
      <w:r w:rsidRPr="00CD3671">
        <w:rPr>
          <w:rFonts w:ascii="Tahoma" w:hAnsi="Tahoma" w:cs="Tahoma"/>
          <w:sz w:val="24"/>
          <w:szCs w:val="24"/>
        </w:rPr>
        <w:t>Pour 2027, le plafond annuel de la sécurité sociale augmentera de 1,74 % par rapport au niveau de 2026 (soit 48 900 € sur l’année), indique le communiqué du BOSS.</w:t>
      </w:r>
    </w:p>
    <w:p w14:paraId="4223B6BD" w14:textId="77777777" w:rsidR="00CD3671" w:rsidRDefault="00CD3671" w:rsidP="00CD3671">
      <w:pPr>
        <w:pStyle w:val="Sansinterligne"/>
        <w:jc w:val="both"/>
        <w:rPr>
          <w:rFonts w:ascii="Tahoma" w:hAnsi="Tahoma" w:cs="Tahoma"/>
          <w:sz w:val="24"/>
          <w:szCs w:val="24"/>
        </w:rPr>
      </w:pPr>
    </w:p>
    <w:p w14:paraId="27EE65BD" w14:textId="77777777" w:rsidR="00CD3671" w:rsidRPr="00CD3671" w:rsidRDefault="00CD3671" w:rsidP="00CD3671">
      <w:pPr>
        <w:pStyle w:val="Sansinterligne"/>
        <w:jc w:val="both"/>
        <w:rPr>
          <w:rFonts w:ascii="Tahoma" w:hAnsi="Tahoma" w:cs="Tahoma"/>
          <w:sz w:val="24"/>
          <w:szCs w:val="24"/>
        </w:rPr>
      </w:pPr>
    </w:p>
    <w:p w14:paraId="2AAD2A93" w14:textId="37B29331" w:rsidR="00CD3671" w:rsidRPr="00CD3671" w:rsidRDefault="00CD3671" w:rsidP="00CD3671">
      <w:pPr>
        <w:pStyle w:val="Sansinterligne"/>
        <w:jc w:val="both"/>
        <w:rPr>
          <w:rFonts w:ascii="Tahoma" w:hAnsi="Tahoma" w:cs="Tahoma"/>
          <w:sz w:val="24"/>
          <w:szCs w:val="24"/>
        </w:rPr>
      </w:pPr>
      <w:r w:rsidRPr="00CD3671">
        <w:rPr>
          <w:rFonts w:ascii="Tahoma" w:hAnsi="Tahoma" w:cs="Tahoma"/>
          <w:noProof/>
          <w:sz w:val="24"/>
          <w:szCs w:val="24"/>
        </w:rPr>
        <w:drawing>
          <wp:inline distT="0" distB="0" distL="0" distR="0" wp14:anchorId="615B5F47" wp14:editId="31E4F5B3">
            <wp:extent cx="6645910" cy="1741805"/>
            <wp:effectExtent l="0" t="0" r="2540" b="0"/>
            <wp:docPr id="1283479623" name="Image 2" descr="tableau-plafond-ss-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ableau-plafond-ss-20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1741805"/>
                    </a:xfrm>
                    <a:prstGeom prst="rect">
                      <a:avLst/>
                    </a:prstGeom>
                    <a:noFill/>
                    <a:ln>
                      <a:noFill/>
                    </a:ln>
                  </pic:spPr>
                </pic:pic>
              </a:graphicData>
            </a:graphic>
          </wp:inline>
        </w:drawing>
      </w:r>
    </w:p>
    <w:p w14:paraId="4F5EFB34" w14:textId="77777777" w:rsidR="00C3632B" w:rsidRDefault="00C3632B" w:rsidP="00C3632B">
      <w:pPr>
        <w:pStyle w:val="Sansinterligne"/>
        <w:rPr>
          <w:rFonts w:ascii="Tahoma" w:hAnsi="Tahoma" w:cs="Tahoma"/>
          <w:b/>
          <w:bCs/>
          <w:i/>
          <w:iCs/>
          <w:color w:val="FF0000"/>
          <w:sz w:val="24"/>
          <w:szCs w:val="24"/>
        </w:rPr>
      </w:pPr>
    </w:p>
    <w:p w14:paraId="0E5182DD" w14:textId="77777777" w:rsidR="00C3632B" w:rsidRDefault="00C3632B" w:rsidP="00C3632B">
      <w:pPr>
        <w:pStyle w:val="Sansinterligne"/>
        <w:rPr>
          <w:rFonts w:ascii="Tahoma" w:hAnsi="Tahoma" w:cs="Tahoma"/>
          <w:b/>
          <w:bCs/>
          <w:i/>
          <w:iCs/>
          <w:color w:val="FF0000"/>
          <w:sz w:val="24"/>
          <w:szCs w:val="24"/>
        </w:rPr>
      </w:pPr>
    </w:p>
    <w:p w14:paraId="31946097" w14:textId="77777777" w:rsidR="00C3632B" w:rsidRPr="001E66A3" w:rsidRDefault="00C3632B" w:rsidP="00C3632B">
      <w:pPr>
        <w:pStyle w:val="Sansinterligne"/>
        <w:rPr>
          <w:rFonts w:ascii="Tahoma" w:hAnsi="Tahoma" w:cs="Tahoma"/>
          <w:sz w:val="24"/>
          <w:szCs w:val="24"/>
        </w:rPr>
      </w:pPr>
    </w:p>
    <w:p w14:paraId="63120063" w14:textId="77777777" w:rsidR="00F14EBC" w:rsidRPr="00F14EBC" w:rsidRDefault="00F14EBC" w:rsidP="00F14EBC">
      <w:pPr>
        <w:pStyle w:val="Sansinterligne"/>
        <w:numPr>
          <w:ilvl w:val="0"/>
          <w:numId w:val="1"/>
        </w:numPr>
        <w:rPr>
          <w:rFonts w:ascii="Tahoma" w:hAnsi="Tahoma" w:cs="Tahoma"/>
          <w:b/>
          <w:bCs/>
          <w:i/>
          <w:iCs/>
          <w:color w:val="FF0000"/>
          <w:sz w:val="24"/>
          <w:szCs w:val="24"/>
        </w:rPr>
      </w:pPr>
      <w:r w:rsidRPr="00F14EBC">
        <w:rPr>
          <w:rFonts w:ascii="Tahoma" w:hAnsi="Tahoma" w:cs="Tahoma"/>
          <w:b/>
          <w:bCs/>
          <w:i/>
          <w:iCs/>
          <w:color w:val="FF0000"/>
          <w:sz w:val="24"/>
          <w:szCs w:val="24"/>
        </w:rPr>
        <w:t>Prime carburant : le plafond d’exonération sociale porté à 1 000 € jusqu’au 31 décembre 2026</w:t>
      </w:r>
    </w:p>
    <w:p w14:paraId="4502F0AE" w14:textId="77777777" w:rsidR="007A5E8D" w:rsidRDefault="007A5E8D" w:rsidP="007A5E8D">
      <w:pPr>
        <w:pStyle w:val="Sansinterligne"/>
        <w:rPr>
          <w:rFonts w:ascii="Tahoma" w:hAnsi="Tahoma" w:cs="Tahoma"/>
          <w:b/>
          <w:bCs/>
          <w:i/>
          <w:iCs/>
          <w:color w:val="FF0000"/>
          <w:sz w:val="24"/>
          <w:szCs w:val="24"/>
        </w:rPr>
      </w:pPr>
    </w:p>
    <w:p w14:paraId="64C60D72" w14:textId="1014E0E9" w:rsidR="00FD4390" w:rsidRDefault="00DC52B3" w:rsidP="007A5E8D">
      <w:pPr>
        <w:pStyle w:val="Sansinterligne"/>
        <w:rPr>
          <w:rFonts w:ascii="Tahoma" w:hAnsi="Tahoma" w:cs="Tahoma"/>
          <w:sz w:val="24"/>
          <w:szCs w:val="24"/>
        </w:rPr>
      </w:pPr>
      <w:r w:rsidRPr="00DC52B3">
        <w:rPr>
          <w:rFonts w:ascii="Tahoma" w:hAnsi="Tahoma" w:cs="Tahoma"/>
          <w:sz w:val="24"/>
          <w:szCs w:val="24"/>
        </w:rPr>
        <w:t>Jusqu’à présent, les plafonds d’exonération sociale étaient fixés par le Code de la sécurité sociale par renvoi aux limites d’exonération fiscale prévues par le Code général des impôts. À la suite de la décision du Conseil constitutionnel du 29</w:t>
      </w:r>
      <w:r w:rsidR="00591979">
        <w:rPr>
          <w:rFonts w:ascii="Tahoma" w:hAnsi="Tahoma" w:cs="Tahoma"/>
          <w:sz w:val="24"/>
          <w:szCs w:val="24"/>
        </w:rPr>
        <w:t xml:space="preserve"> </w:t>
      </w:r>
      <w:r w:rsidRPr="00DC52B3">
        <w:rPr>
          <w:rFonts w:ascii="Tahoma" w:hAnsi="Tahoma" w:cs="Tahoma"/>
          <w:sz w:val="24"/>
          <w:szCs w:val="24"/>
        </w:rPr>
        <w:t>juillet 2026 reconnaissant leur caractère réglementaire (Cons. const., 29</w:t>
      </w:r>
      <w:r>
        <w:rPr>
          <w:rFonts w:ascii="Tahoma" w:hAnsi="Tahoma" w:cs="Tahoma"/>
          <w:sz w:val="24"/>
          <w:szCs w:val="24"/>
        </w:rPr>
        <w:t xml:space="preserve"> </w:t>
      </w:r>
      <w:r w:rsidRPr="00DC52B3">
        <w:rPr>
          <w:rFonts w:ascii="Tahoma" w:hAnsi="Tahoma" w:cs="Tahoma"/>
          <w:sz w:val="24"/>
          <w:szCs w:val="24"/>
        </w:rPr>
        <w:t xml:space="preserve">juill. 2026, nº 2026-327 L), deux décrets du 20 octobre 2026 ont été publiés au </w:t>
      </w:r>
      <w:r w:rsidRPr="00DC52B3">
        <w:rPr>
          <w:rFonts w:ascii="Tahoma" w:hAnsi="Tahoma" w:cs="Tahoma"/>
          <w:sz w:val="24"/>
          <w:szCs w:val="24"/>
        </w:rPr>
        <w:lastRenderedPageBreak/>
        <w:t>Journal officiel du 21 octobre 2026 :</w:t>
      </w:r>
      <w:r w:rsidRPr="00DC52B3">
        <w:rPr>
          <w:rFonts w:ascii="Tahoma" w:hAnsi="Tahoma" w:cs="Tahoma"/>
          <w:sz w:val="24"/>
          <w:szCs w:val="24"/>
        </w:rPr>
        <w:br/>
      </w:r>
      <w:r w:rsidRPr="00DC52B3">
        <w:rPr>
          <w:rFonts w:ascii="Tahoma" w:hAnsi="Tahoma" w:cs="Tahoma"/>
          <w:sz w:val="24"/>
          <w:szCs w:val="24"/>
        </w:rPr>
        <w:br/>
        <w:t xml:space="preserve">- le </w:t>
      </w:r>
      <w:hyperlink r:id="rId12" w:history="1">
        <w:r w:rsidRPr="00DC52B3">
          <w:rPr>
            <w:rFonts w:ascii="Tahoma" w:hAnsi="Tahoma" w:cs="Tahoma"/>
            <w:sz w:val="24"/>
            <w:szCs w:val="24"/>
          </w:rPr>
          <w:t>décret n° 2026-973 du 20 octobre 2026</w:t>
        </w:r>
      </w:hyperlink>
      <w:r w:rsidRPr="00DC52B3">
        <w:rPr>
          <w:rFonts w:ascii="Tahoma" w:hAnsi="Tahoma" w:cs="Tahoma"/>
          <w:sz w:val="24"/>
          <w:szCs w:val="24"/>
        </w:rPr>
        <w:t xml:space="preserve"> prévoit que les plafonds d’exonération visés à l’article L. 136-1-1 du code de la sécurité sociale sont désormais fixés par décret, et non plus par renvoi au code général des impôts (CGI) ;</w:t>
      </w:r>
      <w:r w:rsidRPr="00DC52B3">
        <w:rPr>
          <w:rFonts w:ascii="Tahoma" w:hAnsi="Tahoma" w:cs="Tahoma"/>
          <w:sz w:val="24"/>
          <w:szCs w:val="24"/>
        </w:rPr>
        <w:br/>
      </w:r>
      <w:r w:rsidRPr="00DC52B3">
        <w:rPr>
          <w:rFonts w:ascii="Tahoma" w:hAnsi="Tahoma" w:cs="Tahoma"/>
          <w:sz w:val="24"/>
          <w:szCs w:val="24"/>
        </w:rPr>
        <w:br/>
        <w:t xml:space="preserve">- le </w:t>
      </w:r>
      <w:hyperlink r:id="rId13" w:history="1">
        <w:r w:rsidRPr="00DC52B3">
          <w:rPr>
            <w:rFonts w:ascii="Tahoma" w:hAnsi="Tahoma" w:cs="Tahoma"/>
            <w:sz w:val="24"/>
            <w:szCs w:val="24"/>
          </w:rPr>
          <w:t>décret n° 2026-974</w:t>
        </w:r>
      </w:hyperlink>
      <w:r w:rsidRPr="00DC52B3">
        <w:rPr>
          <w:rFonts w:ascii="Tahoma" w:hAnsi="Tahoma" w:cs="Tahoma"/>
          <w:sz w:val="24"/>
          <w:szCs w:val="24"/>
        </w:rPr>
        <w:t xml:space="preserve"> du même jour fixe les plafonds et prévoit leur relèvement temporaire à 1 000 €.</w:t>
      </w:r>
      <w:r w:rsidRPr="00DC52B3">
        <w:rPr>
          <w:rFonts w:ascii="Tahoma" w:hAnsi="Tahoma" w:cs="Tahoma"/>
          <w:sz w:val="24"/>
          <w:szCs w:val="24"/>
        </w:rPr>
        <w:br/>
      </w:r>
      <w:r w:rsidRPr="00DC52B3">
        <w:rPr>
          <w:rFonts w:ascii="Tahoma" w:hAnsi="Tahoma" w:cs="Tahoma"/>
          <w:sz w:val="24"/>
          <w:szCs w:val="24"/>
        </w:rPr>
        <w:br/>
        <w:t>En régime de droit commun, la prise en charge par l’employeur des frais de carburant et des frais d’alimentation des véhicules électriques, hybrides rechargeables ou à hydrogène bénéficie d’une exonération sociale dans la limite de 600 € par an et par salarié, dont 300 € au maximum pour les frais de carburant. La limite globale de 600 € s’apprécie en cumulant, le cas échéant, la prime transport et le forfait mobilités durables.</w:t>
      </w:r>
      <w:r w:rsidRPr="00DC52B3">
        <w:rPr>
          <w:rFonts w:ascii="Tahoma" w:hAnsi="Tahoma" w:cs="Tahoma"/>
          <w:sz w:val="24"/>
          <w:szCs w:val="24"/>
        </w:rPr>
        <w:br/>
      </w:r>
      <w:r w:rsidRPr="00DC52B3">
        <w:rPr>
          <w:rFonts w:ascii="Tahoma" w:hAnsi="Tahoma" w:cs="Tahoma"/>
          <w:sz w:val="24"/>
          <w:szCs w:val="24"/>
        </w:rPr>
        <w:br/>
        <w:t>À titre dérogatoire, le décret n° 2026-974 porte à 1 000 €, pour les sommes versées jusqu’au 31 décembre 2026 et dans les conditions d’application temporelle précisées ci-dessous, les limites d’exonération sociale applicables aux dispositifs suivants :</w:t>
      </w:r>
      <w:r w:rsidRPr="00DC52B3">
        <w:rPr>
          <w:rFonts w:ascii="Tahoma" w:hAnsi="Tahoma" w:cs="Tahoma"/>
          <w:sz w:val="24"/>
          <w:szCs w:val="24"/>
        </w:rPr>
        <w:br/>
      </w:r>
      <w:r w:rsidRPr="00DC52B3">
        <w:rPr>
          <w:rFonts w:ascii="Tahoma" w:hAnsi="Tahoma" w:cs="Tahoma"/>
          <w:sz w:val="24"/>
          <w:szCs w:val="24"/>
        </w:rPr>
        <w:br/>
        <w:t>- pour l’ensemble des frais de carburant, recharge des véhicules électriques, alimentation des véhicules hybrides rechargeables ou à hydrogène, forfait mobilités durables (limite globale de 600 € en principe) ;</w:t>
      </w:r>
      <w:r w:rsidRPr="00DC52B3">
        <w:rPr>
          <w:rFonts w:ascii="Tahoma" w:hAnsi="Tahoma" w:cs="Tahoma"/>
          <w:sz w:val="24"/>
          <w:szCs w:val="24"/>
        </w:rPr>
        <w:br/>
      </w:r>
      <w:r w:rsidRPr="00DC52B3">
        <w:rPr>
          <w:rFonts w:ascii="Tahoma" w:hAnsi="Tahoma" w:cs="Tahoma"/>
          <w:sz w:val="24"/>
          <w:szCs w:val="24"/>
        </w:rPr>
        <w:br/>
        <w:t>- pour les seuls frais de carburant (limite de 300 € en principe) ;</w:t>
      </w:r>
      <w:r w:rsidRPr="00DC52B3">
        <w:rPr>
          <w:rFonts w:ascii="Tahoma" w:hAnsi="Tahoma" w:cs="Tahoma"/>
          <w:sz w:val="24"/>
          <w:szCs w:val="24"/>
        </w:rPr>
        <w:br/>
      </w:r>
      <w:r w:rsidRPr="00DC52B3">
        <w:rPr>
          <w:rFonts w:ascii="Tahoma" w:hAnsi="Tahoma" w:cs="Tahoma"/>
          <w:sz w:val="24"/>
          <w:szCs w:val="24"/>
        </w:rPr>
        <w:br/>
        <w:t>- pour le cumul du remboursement des frais de transport collectif et du forfait mobilités durables (limite de 900 € en principe) ;</w:t>
      </w:r>
      <w:r w:rsidRPr="00DC52B3">
        <w:rPr>
          <w:rFonts w:ascii="Tahoma" w:hAnsi="Tahoma" w:cs="Tahoma"/>
          <w:sz w:val="24"/>
          <w:szCs w:val="24"/>
        </w:rPr>
        <w:br/>
      </w:r>
      <w:r w:rsidRPr="00DC52B3">
        <w:rPr>
          <w:rFonts w:ascii="Tahoma" w:hAnsi="Tahoma" w:cs="Tahoma"/>
          <w:sz w:val="24"/>
          <w:szCs w:val="24"/>
        </w:rPr>
        <w:br/>
        <w:t>- pour la prise en charge, par une collectivité territoriale, un établissement public de coopération intercommunale ou France Travail, des frais de carburant ou d’alimentation de véhicules électriques en l’absence de remboursement de frais de transport collectif (limite de 310 € en principe).</w:t>
      </w:r>
      <w:r w:rsidRPr="00DC52B3">
        <w:rPr>
          <w:rFonts w:ascii="Tahoma" w:hAnsi="Tahoma" w:cs="Tahoma"/>
          <w:sz w:val="24"/>
          <w:szCs w:val="24"/>
        </w:rPr>
        <w:br/>
      </w:r>
      <w:r w:rsidRPr="00DC52B3">
        <w:rPr>
          <w:rFonts w:ascii="Tahoma" w:hAnsi="Tahoma" w:cs="Tahoma"/>
          <w:sz w:val="24"/>
          <w:szCs w:val="24"/>
        </w:rPr>
        <w:br/>
        <w:t>En cas de cumul de la prime transport et du forfait mobilités durables, ces prises en charge s’inscrivent dans une enveloppe globale de 1 000 €. Il ne s’agit pas de deux plafonds distincts pouvant s’additionner.</w:t>
      </w:r>
      <w:r w:rsidRPr="00DC52B3">
        <w:rPr>
          <w:rFonts w:ascii="Tahoma" w:hAnsi="Tahoma" w:cs="Tahoma"/>
          <w:sz w:val="24"/>
          <w:szCs w:val="24"/>
        </w:rPr>
        <w:br/>
      </w:r>
      <w:r w:rsidRPr="00DC52B3">
        <w:rPr>
          <w:rFonts w:ascii="Tahoma" w:hAnsi="Tahoma" w:cs="Tahoma"/>
          <w:sz w:val="24"/>
          <w:szCs w:val="24"/>
        </w:rPr>
        <w:br/>
        <w:t>Pour rappel, le versement de la prime transport et du forfait mobilités durables demeure facultatif. Le relèvement des plafonds d’exonération ne crée donc aucune obligation de verser une prime ni d’augmenter son montant.</w:t>
      </w:r>
      <w:r w:rsidRPr="00DC52B3">
        <w:rPr>
          <w:rFonts w:ascii="Tahoma" w:hAnsi="Tahoma" w:cs="Tahoma"/>
          <w:sz w:val="24"/>
          <w:szCs w:val="24"/>
        </w:rPr>
        <w:br/>
      </w:r>
      <w:r w:rsidRPr="00DC52B3">
        <w:rPr>
          <w:rFonts w:ascii="Tahoma" w:hAnsi="Tahoma" w:cs="Tahoma"/>
          <w:sz w:val="24"/>
          <w:szCs w:val="24"/>
        </w:rPr>
        <w:br/>
        <w:t>Si ces décrets ne portent que sur le régime social, le projet de loi de finances 2027 prévoirait également de porter le plafond de défiscalisation à 1 000 € pour 2026. Cette mesure fiscale reste soumise à l’adoption définitive de la loi.</w:t>
      </w:r>
    </w:p>
    <w:p w14:paraId="396FDC16" w14:textId="77777777" w:rsidR="00BB0432" w:rsidRDefault="00DC52B3" w:rsidP="007A5E8D">
      <w:pPr>
        <w:pStyle w:val="Sansinterligne"/>
        <w:rPr>
          <w:rFonts w:ascii="Tahoma" w:hAnsi="Tahoma" w:cs="Tahoma"/>
          <w:sz w:val="24"/>
          <w:szCs w:val="24"/>
        </w:rPr>
      </w:pPr>
      <w:r w:rsidRPr="00DC52B3">
        <w:rPr>
          <w:rFonts w:ascii="Tahoma" w:hAnsi="Tahoma" w:cs="Tahoma"/>
          <w:sz w:val="24"/>
          <w:szCs w:val="24"/>
        </w:rPr>
        <w:br/>
      </w:r>
      <w:r w:rsidRPr="00DC52B3">
        <w:rPr>
          <w:rFonts w:ascii="Tahoma" w:hAnsi="Tahoma" w:cs="Tahoma"/>
          <w:b/>
          <w:bCs/>
          <w:i/>
          <w:iCs/>
          <w:sz w:val="24"/>
          <w:szCs w:val="24"/>
          <w:u w:val="single"/>
        </w:rPr>
        <w:t>- Une application à compter du 1er octobre 2026</w:t>
      </w:r>
      <w:r w:rsidRPr="00DC52B3">
        <w:rPr>
          <w:rFonts w:ascii="Tahoma" w:hAnsi="Tahoma" w:cs="Tahoma"/>
          <w:sz w:val="24"/>
          <w:szCs w:val="24"/>
        </w:rPr>
        <w:br/>
      </w:r>
      <w:r w:rsidRPr="00DC52B3">
        <w:rPr>
          <w:rFonts w:ascii="Tahoma" w:hAnsi="Tahoma" w:cs="Tahoma"/>
          <w:sz w:val="24"/>
          <w:szCs w:val="24"/>
        </w:rPr>
        <w:br/>
        <w:t xml:space="preserve">Le décret n°2026-974 s’applique aux périodes d’activité courant à compter du 1er octobre 2026. Le plafond dérogatoire concernerait donc la période d’octobre à décembre 2026. </w:t>
      </w:r>
    </w:p>
    <w:p w14:paraId="4FFBECC8" w14:textId="120BCD3B" w:rsidR="007A5E8D" w:rsidRPr="00DC52B3" w:rsidRDefault="00DC52B3" w:rsidP="007A5E8D">
      <w:pPr>
        <w:pStyle w:val="Sansinterligne"/>
        <w:rPr>
          <w:rFonts w:ascii="Tahoma" w:hAnsi="Tahoma" w:cs="Tahoma"/>
          <w:sz w:val="24"/>
          <w:szCs w:val="24"/>
        </w:rPr>
      </w:pPr>
      <w:r w:rsidRPr="00DC52B3">
        <w:rPr>
          <w:rFonts w:ascii="Tahoma" w:hAnsi="Tahoma" w:cs="Tahoma"/>
          <w:sz w:val="24"/>
          <w:szCs w:val="24"/>
        </w:rPr>
        <w:t xml:space="preserve">Pour les périodes antérieures, le </w:t>
      </w:r>
      <w:hyperlink r:id="rId14" w:history="1">
        <w:r w:rsidRPr="00FD4390">
          <w:rPr>
            <w:rFonts w:ascii="Tahoma" w:hAnsi="Tahoma" w:cs="Tahoma"/>
            <w:sz w:val="24"/>
            <w:szCs w:val="24"/>
          </w:rPr>
          <w:t>communiqué du BOSS du 6 août 2026</w:t>
        </w:r>
      </w:hyperlink>
      <w:r w:rsidRPr="00DC52B3">
        <w:rPr>
          <w:rFonts w:ascii="Tahoma" w:hAnsi="Tahoma" w:cs="Tahoma"/>
          <w:sz w:val="24"/>
          <w:szCs w:val="24"/>
        </w:rPr>
        <w:t xml:space="preserve"> admettait déjà, par tolérance, que les employeurs anticipent le relèvement du plafond carburant à 600 € dans leurs déclarations au titre de l’année2026.</w:t>
      </w:r>
      <w:r w:rsidRPr="00DC52B3">
        <w:rPr>
          <w:rFonts w:ascii="Tahoma" w:hAnsi="Tahoma" w:cs="Tahoma"/>
          <w:sz w:val="24"/>
          <w:szCs w:val="24"/>
        </w:rPr>
        <w:br/>
      </w:r>
      <w:r w:rsidRPr="00DC52B3">
        <w:rPr>
          <w:rFonts w:ascii="Tahoma" w:hAnsi="Tahoma" w:cs="Tahoma"/>
          <w:sz w:val="24"/>
          <w:szCs w:val="24"/>
        </w:rPr>
        <w:br/>
        <w:t xml:space="preserve">Une clarification du BOSS est attendue concernant l’articulation de cette tolérance avec le nouveau plafond de 1 000 € applicable à compter du 1er octobre2026, notamment pour sécuriser les employeurs ayant anticipé la publication des textes. </w:t>
      </w:r>
      <w:r w:rsidRPr="00DC52B3">
        <w:rPr>
          <w:rFonts w:ascii="Tahoma" w:hAnsi="Tahoma" w:cs="Tahoma"/>
          <w:sz w:val="24"/>
          <w:szCs w:val="24"/>
        </w:rPr>
        <w:br/>
      </w:r>
      <w:r w:rsidRPr="00DC52B3">
        <w:rPr>
          <w:rFonts w:ascii="Tahoma" w:hAnsi="Tahoma" w:cs="Tahoma"/>
          <w:sz w:val="24"/>
          <w:szCs w:val="24"/>
        </w:rPr>
        <w:br/>
        <w:t>Le plafond de 1000 € ne vaut que pour les sommes effectivement versées au plus tard le 31décembre 2026. Le plafond étant annuel, les sommes déjà versées en 2026 au titre de la prime de transport ou du forfait mobilités durables devraient également s’imputer sur cette même enveloppe, sous réserve des précisions attendues du BOSS.</w:t>
      </w:r>
      <w:r w:rsidRPr="00DC52B3">
        <w:rPr>
          <w:rFonts w:ascii="Tahoma" w:hAnsi="Tahoma" w:cs="Tahoma"/>
          <w:sz w:val="24"/>
          <w:szCs w:val="24"/>
        </w:rPr>
        <w:br/>
      </w:r>
      <w:r w:rsidRPr="00DC52B3">
        <w:rPr>
          <w:rFonts w:ascii="Tahoma" w:hAnsi="Tahoma" w:cs="Tahoma"/>
          <w:sz w:val="24"/>
          <w:szCs w:val="24"/>
        </w:rPr>
        <w:br/>
      </w:r>
      <w:r w:rsidRPr="00DC52B3">
        <w:rPr>
          <w:rFonts w:ascii="Tahoma" w:hAnsi="Tahoma" w:cs="Tahoma"/>
          <w:b/>
          <w:bCs/>
          <w:i/>
          <w:iCs/>
          <w:sz w:val="24"/>
          <w:szCs w:val="24"/>
          <w:u w:val="single"/>
        </w:rPr>
        <w:t>- Les salariés bénéficiaires</w:t>
      </w:r>
      <w:r w:rsidRPr="00DC52B3">
        <w:rPr>
          <w:rFonts w:ascii="Tahoma" w:hAnsi="Tahoma" w:cs="Tahoma"/>
          <w:sz w:val="24"/>
          <w:szCs w:val="24"/>
        </w:rPr>
        <w:br/>
      </w:r>
      <w:r w:rsidRPr="00DC52B3">
        <w:rPr>
          <w:rFonts w:ascii="Tahoma" w:hAnsi="Tahoma" w:cs="Tahoma"/>
          <w:sz w:val="24"/>
          <w:szCs w:val="24"/>
        </w:rPr>
        <w:br/>
        <w:t>Les décrets ne modifient pas les conditions d’éligibilité prévues aux articles L. 3261-2 et L.3261-3 du code du travail. La suspension jusqu’au 31 décembre 2026 de la condition d’absence de desserte par un service public de transport collectif régulier et du principe de non-cumul avec la prise en charge partielle des titres d’abonnement repose toujours sur le communiqué du BOSS du 6 août 2026. Les autres critères restent applicables.</w:t>
      </w:r>
      <w:r w:rsidRPr="00DC52B3">
        <w:rPr>
          <w:rFonts w:ascii="Tahoma" w:hAnsi="Tahoma" w:cs="Tahoma"/>
          <w:sz w:val="24"/>
          <w:szCs w:val="24"/>
        </w:rPr>
        <w:br/>
      </w:r>
      <w:r w:rsidRPr="00DC52B3">
        <w:rPr>
          <w:rFonts w:ascii="Tahoma" w:hAnsi="Tahoma" w:cs="Tahoma"/>
          <w:sz w:val="24"/>
          <w:szCs w:val="24"/>
        </w:rPr>
        <w:br/>
        <w:t>Sont notamment exclus du dispositif les salariés (</w:t>
      </w:r>
      <w:hyperlink r:id="rId15" w:history="1">
        <w:r w:rsidRPr="00DC52B3">
          <w:rPr>
            <w:rFonts w:ascii="Tahoma" w:hAnsi="Tahoma" w:cs="Tahoma"/>
            <w:sz w:val="24"/>
            <w:szCs w:val="24"/>
          </w:rPr>
          <w:t>article R. 3261-12 du code du travail</w:t>
        </w:r>
      </w:hyperlink>
      <w:r w:rsidRPr="00DC52B3">
        <w:rPr>
          <w:rFonts w:ascii="Tahoma" w:hAnsi="Tahoma" w:cs="Tahoma"/>
          <w:sz w:val="24"/>
          <w:szCs w:val="24"/>
        </w:rPr>
        <w:t>) :</w:t>
      </w:r>
      <w:r w:rsidRPr="00DC52B3">
        <w:rPr>
          <w:rFonts w:ascii="Tahoma" w:hAnsi="Tahoma" w:cs="Tahoma"/>
          <w:sz w:val="24"/>
          <w:szCs w:val="24"/>
        </w:rPr>
        <w:br/>
      </w:r>
      <w:r w:rsidRPr="00DC52B3">
        <w:rPr>
          <w:rFonts w:ascii="Tahoma" w:hAnsi="Tahoma" w:cs="Tahoma"/>
          <w:sz w:val="24"/>
          <w:szCs w:val="24"/>
        </w:rPr>
        <w:br/>
        <w:t>- qui disposent d’un véhicule mis à disposition en permanence par l’employeur, avec prise en charge du carburant ou de l’alimentation du véhicule ;</w:t>
      </w:r>
      <w:r w:rsidRPr="00DC52B3">
        <w:rPr>
          <w:rFonts w:ascii="Tahoma" w:hAnsi="Tahoma" w:cs="Tahoma"/>
          <w:sz w:val="24"/>
          <w:szCs w:val="24"/>
        </w:rPr>
        <w:br/>
      </w:r>
      <w:r w:rsidRPr="00DC52B3">
        <w:rPr>
          <w:rFonts w:ascii="Tahoma" w:hAnsi="Tahoma" w:cs="Tahoma"/>
          <w:sz w:val="24"/>
          <w:szCs w:val="24"/>
        </w:rPr>
        <w:br/>
        <w:t>- qui sont logés dans des conditions telles qu’ils ne supportent aucun frais de transport pour se rendre au travail ;</w:t>
      </w:r>
      <w:r w:rsidRPr="00DC52B3">
        <w:rPr>
          <w:rFonts w:ascii="Tahoma" w:hAnsi="Tahoma" w:cs="Tahoma"/>
          <w:sz w:val="24"/>
          <w:szCs w:val="24"/>
        </w:rPr>
        <w:br/>
      </w:r>
      <w:r w:rsidRPr="00DC52B3">
        <w:rPr>
          <w:rFonts w:ascii="Tahoma" w:hAnsi="Tahoma" w:cs="Tahoma"/>
          <w:sz w:val="24"/>
          <w:szCs w:val="24"/>
        </w:rPr>
        <w:br/>
        <w:t>- dont le transport est assuré gratuitement par l’employeur.</w:t>
      </w:r>
      <w:r w:rsidRPr="00DC52B3">
        <w:rPr>
          <w:rFonts w:ascii="Tahoma" w:hAnsi="Tahoma" w:cs="Tahoma"/>
          <w:sz w:val="24"/>
          <w:szCs w:val="24"/>
        </w:rPr>
        <w:br/>
      </w:r>
      <w:r w:rsidRPr="00DC52B3">
        <w:rPr>
          <w:rFonts w:ascii="Tahoma" w:hAnsi="Tahoma" w:cs="Tahoma"/>
          <w:sz w:val="24"/>
          <w:szCs w:val="24"/>
        </w:rPr>
        <w:br/>
        <w:t>Pour rappel, l’exonération de cotisations sociales de la prise en charge des frais de carburant ou d’alimentation électrique n’est pas cumulable avec l’application d’une déduction forfaitaire spécifique (DFS) pour frais professionnels (</w:t>
      </w:r>
      <w:hyperlink r:id="rId16" w:anchor="titre-chapitre-4---frais-de-transport-section-2---utilisation-du-vehic-a-principe-general-3-regime-social" w:history="1">
        <w:r w:rsidRPr="00DC52B3">
          <w:t>BOSS-FB-§990</w:t>
        </w:r>
      </w:hyperlink>
      <w:r w:rsidRPr="00DC52B3">
        <w:rPr>
          <w:rFonts w:ascii="Tahoma" w:hAnsi="Tahoma" w:cs="Tahoma"/>
          <w:sz w:val="24"/>
          <w:szCs w:val="24"/>
        </w:rPr>
        <w:t>). Ces sommes devront être réintégrées dans l’assiette des cotisations en cas d’application d’une telle déduction. Les mesures temporaires annoncées pour 2026, notamment le relèvement du plafond d’exonération à 1 000€, n’ont pas levé cette règle de non-cumul.</w:t>
      </w:r>
    </w:p>
    <w:p w14:paraId="2BE541B5" w14:textId="77777777" w:rsidR="00145C78" w:rsidRDefault="00145C78" w:rsidP="001806ED">
      <w:pPr>
        <w:pStyle w:val="Sansinterligne"/>
        <w:rPr>
          <w:rFonts w:ascii="Tahoma" w:hAnsi="Tahoma" w:cs="Tahoma"/>
          <w:b/>
          <w:bCs/>
          <w:color w:val="EE0000"/>
          <w:sz w:val="24"/>
          <w:szCs w:val="24"/>
        </w:rPr>
      </w:pPr>
    </w:p>
    <w:p w14:paraId="61237198" w14:textId="77777777" w:rsidR="00DC52B3" w:rsidRDefault="00DC52B3" w:rsidP="001806ED">
      <w:pPr>
        <w:pStyle w:val="Sansinterligne"/>
        <w:rPr>
          <w:rFonts w:ascii="Tahoma" w:hAnsi="Tahoma" w:cs="Tahoma"/>
          <w:b/>
          <w:bCs/>
          <w:i/>
          <w:iCs/>
          <w:color w:val="FF0000"/>
          <w:sz w:val="24"/>
          <w:szCs w:val="24"/>
        </w:rPr>
      </w:pPr>
    </w:p>
    <w:p w14:paraId="00D40F27" w14:textId="5F70E1F9" w:rsidR="00B1582B" w:rsidRPr="00263D48" w:rsidRDefault="00B1582B" w:rsidP="00B1582B">
      <w:pPr>
        <w:pStyle w:val="Sansinterligne"/>
        <w:numPr>
          <w:ilvl w:val="0"/>
          <w:numId w:val="1"/>
        </w:numPr>
        <w:rPr>
          <w:rFonts w:ascii="Tahoma" w:hAnsi="Tahoma" w:cs="Tahoma"/>
          <w:b/>
          <w:bCs/>
          <w:i/>
          <w:iCs/>
          <w:color w:val="FF0000"/>
          <w:sz w:val="24"/>
          <w:szCs w:val="24"/>
        </w:rPr>
      </w:pPr>
      <w:r>
        <w:rPr>
          <w:rFonts w:ascii="Tahoma" w:hAnsi="Tahoma" w:cs="Tahoma"/>
          <w:b/>
          <w:bCs/>
          <w:i/>
          <w:iCs/>
          <w:color w:val="FF0000"/>
          <w:sz w:val="24"/>
          <w:szCs w:val="24"/>
        </w:rPr>
        <w:t xml:space="preserve">Publicité des travaux de rénovation énergétique </w:t>
      </w:r>
    </w:p>
    <w:p w14:paraId="0325EAD5" w14:textId="77777777" w:rsidR="00BF138A" w:rsidRPr="00263D48" w:rsidRDefault="00BF138A" w:rsidP="00BF138A">
      <w:pPr>
        <w:pStyle w:val="Sansinterligne"/>
        <w:rPr>
          <w:rFonts w:ascii="Tahoma" w:hAnsi="Tahoma" w:cs="Tahoma"/>
          <w:sz w:val="24"/>
          <w:szCs w:val="24"/>
        </w:rPr>
      </w:pPr>
    </w:p>
    <w:p w14:paraId="6E20DB3C" w14:textId="77777777" w:rsidR="00EF0810" w:rsidRPr="00263D48" w:rsidRDefault="00EF0810" w:rsidP="00EF0810">
      <w:pPr>
        <w:pStyle w:val="Sansinterligne"/>
        <w:rPr>
          <w:rFonts w:ascii="Tahoma" w:hAnsi="Tahoma" w:cs="Tahoma"/>
          <w:b/>
          <w:bCs/>
          <w:sz w:val="24"/>
          <w:szCs w:val="24"/>
        </w:rPr>
      </w:pPr>
      <w:r w:rsidRPr="00263D48">
        <w:rPr>
          <w:rFonts w:ascii="Tahoma" w:hAnsi="Tahoma" w:cs="Tahoma"/>
          <w:b/>
          <w:bCs/>
          <w:sz w:val="24"/>
          <w:szCs w:val="24"/>
        </w:rPr>
        <w:t>Une nouvelle obligation est en effet entrée en vigueur le 1er octobre concernant la communication sur les travaux de rénovation.</w:t>
      </w:r>
    </w:p>
    <w:p w14:paraId="7D876EBA" w14:textId="77777777" w:rsidR="00EF0810" w:rsidRPr="00263D48" w:rsidRDefault="00EF0810" w:rsidP="00EF0810">
      <w:pPr>
        <w:pStyle w:val="Sansinterligne"/>
        <w:rPr>
          <w:rFonts w:ascii="Tahoma" w:hAnsi="Tahoma" w:cs="Tahoma"/>
          <w:sz w:val="24"/>
          <w:szCs w:val="24"/>
        </w:rPr>
      </w:pPr>
      <w:r w:rsidRPr="00263D48">
        <w:rPr>
          <w:rFonts w:ascii="Tahoma" w:hAnsi="Tahoma" w:cs="Tahoma"/>
          <w:sz w:val="24"/>
          <w:szCs w:val="24"/>
        </w:rPr>
        <w:t> </w:t>
      </w:r>
    </w:p>
    <w:p w14:paraId="17FF958F" w14:textId="78CB6AD3" w:rsidR="00263D48" w:rsidRPr="00263D48" w:rsidRDefault="00EF0810" w:rsidP="00EF0810">
      <w:pPr>
        <w:pStyle w:val="Sansinterligne"/>
        <w:rPr>
          <w:rFonts w:ascii="Tahoma" w:hAnsi="Tahoma" w:cs="Tahoma"/>
          <w:sz w:val="24"/>
          <w:szCs w:val="24"/>
        </w:rPr>
      </w:pPr>
      <w:r w:rsidRPr="00263D48">
        <w:rPr>
          <w:rFonts w:ascii="Tahoma" w:hAnsi="Tahoma" w:cs="Tahoma"/>
          <w:sz w:val="24"/>
          <w:szCs w:val="24"/>
        </w:rPr>
        <w:t>Dans le cadre de la loi Cazenave de lutte contre la fraude aux aides publiques, les entreprises doivent maintenant faire figurer le lien vers le site France Renov sur tous leurs supports de communication (flyers, sites internet, messages radios, …)</w:t>
      </w:r>
    </w:p>
    <w:p w14:paraId="243F05FE" w14:textId="798FAB38" w:rsidR="00EF0810" w:rsidRDefault="00263D48" w:rsidP="00EF0810">
      <w:pPr>
        <w:pStyle w:val="Sansinterligne"/>
        <w:rPr>
          <w:rFonts w:ascii="Tahoma" w:hAnsi="Tahoma" w:cs="Tahoma"/>
          <w:sz w:val="24"/>
          <w:szCs w:val="24"/>
        </w:rPr>
      </w:pPr>
      <w:r>
        <w:rPr>
          <w:rFonts w:ascii="Tahoma" w:hAnsi="Tahoma" w:cs="Tahoma"/>
          <w:sz w:val="24"/>
          <w:szCs w:val="24"/>
        </w:rPr>
        <w:t>Vous trouverez le texte</w:t>
      </w:r>
      <w:r w:rsidR="00EF0810" w:rsidRPr="00263D48">
        <w:rPr>
          <w:rFonts w:ascii="Tahoma" w:hAnsi="Tahoma" w:cs="Tahoma"/>
          <w:sz w:val="24"/>
          <w:szCs w:val="24"/>
        </w:rPr>
        <w:t xml:space="preserve"> </w:t>
      </w:r>
      <w:hyperlink r:id="rId17" w:history="1">
        <w:r w:rsidRPr="00263D48">
          <w:rPr>
            <w:rStyle w:val="Lienhypertexte"/>
            <w:rFonts w:ascii="Tahoma" w:hAnsi="Tahoma" w:cs="Tahoma"/>
            <w:sz w:val="24"/>
            <w:szCs w:val="24"/>
            <w:highlight w:val="yellow"/>
          </w:rPr>
          <w:t>ICI</w:t>
        </w:r>
      </w:hyperlink>
      <w:r>
        <w:rPr>
          <w:rFonts w:ascii="Tahoma" w:hAnsi="Tahoma" w:cs="Tahoma"/>
          <w:sz w:val="24"/>
          <w:szCs w:val="24"/>
        </w:rPr>
        <w:t xml:space="preserve"> </w:t>
      </w:r>
    </w:p>
    <w:p w14:paraId="3F82AE51" w14:textId="77777777" w:rsidR="00263D48" w:rsidRPr="00263D48" w:rsidRDefault="00263D48" w:rsidP="00EF0810">
      <w:pPr>
        <w:pStyle w:val="Sansinterligne"/>
        <w:rPr>
          <w:rFonts w:ascii="Tahoma" w:hAnsi="Tahoma" w:cs="Tahoma"/>
          <w:sz w:val="24"/>
          <w:szCs w:val="24"/>
        </w:rPr>
      </w:pPr>
    </w:p>
    <w:p w14:paraId="20D5B472" w14:textId="77777777" w:rsidR="00EF0810" w:rsidRPr="00263D48" w:rsidRDefault="00EF0810" w:rsidP="00EF0810">
      <w:pPr>
        <w:pStyle w:val="Sansinterligne"/>
        <w:rPr>
          <w:rFonts w:ascii="Tahoma" w:hAnsi="Tahoma" w:cs="Tahoma"/>
          <w:sz w:val="24"/>
          <w:szCs w:val="24"/>
        </w:rPr>
      </w:pPr>
      <w:r w:rsidRPr="00263D48">
        <w:rPr>
          <w:rFonts w:ascii="Tahoma" w:hAnsi="Tahoma" w:cs="Tahoma"/>
          <w:sz w:val="24"/>
          <w:szCs w:val="24"/>
        </w:rPr>
        <w:t>Il précise notamment que :</w:t>
      </w:r>
    </w:p>
    <w:p w14:paraId="417844B8" w14:textId="396DBDDC" w:rsidR="00EF0810" w:rsidRPr="00263D48" w:rsidRDefault="00EF0810" w:rsidP="00EF0810">
      <w:pPr>
        <w:pStyle w:val="Sansinterligne"/>
        <w:rPr>
          <w:rFonts w:ascii="Tahoma" w:hAnsi="Tahoma" w:cs="Tahoma"/>
          <w:sz w:val="24"/>
          <w:szCs w:val="24"/>
        </w:rPr>
      </w:pPr>
      <w:r w:rsidRPr="00263D48">
        <w:rPr>
          <w:rFonts w:ascii="Tahoma" w:hAnsi="Tahoma" w:cs="Tahoma"/>
          <w:sz w:val="24"/>
          <w:szCs w:val="24"/>
        </w:rPr>
        <w:t>« </w:t>
      </w:r>
      <w:r w:rsidRPr="00263D48">
        <w:rPr>
          <w:rFonts w:ascii="Tahoma" w:hAnsi="Tahoma" w:cs="Tahoma"/>
          <w:i/>
          <w:iCs/>
          <w:sz w:val="24"/>
          <w:szCs w:val="24"/>
        </w:rPr>
        <w:t>Tout support de promotion ou de publicité proposant des travaux de rénovation énergétique des logements en vue de la réalisation d’économies d’énergie ou de production d’énergie renouvelable fait mention de l’existence et du rôle du service public de la performance énergétique de l’habitat défini aux articles L. 232-1 à L. 232-3 du code de l’énergie, sous la forme d’un message d’information défini à l’annexe I</w:t>
      </w:r>
      <w:r w:rsidR="00263D48">
        <w:rPr>
          <w:rFonts w:ascii="Tahoma" w:hAnsi="Tahoma" w:cs="Tahoma"/>
          <w:sz w:val="24"/>
          <w:szCs w:val="24"/>
        </w:rPr>
        <w:t> »</w:t>
      </w:r>
      <w:r w:rsidRPr="00263D48">
        <w:rPr>
          <w:rFonts w:ascii="Tahoma" w:hAnsi="Tahoma" w:cs="Tahoma"/>
          <w:sz w:val="24"/>
          <w:szCs w:val="24"/>
        </w:rPr>
        <w:t>.</w:t>
      </w:r>
    </w:p>
    <w:p w14:paraId="3DF10F60" w14:textId="77777777" w:rsidR="00EF0810" w:rsidRPr="00263D48" w:rsidRDefault="00EF0810" w:rsidP="00EF0810">
      <w:pPr>
        <w:pStyle w:val="Sansinterligne"/>
        <w:rPr>
          <w:rFonts w:ascii="Tahoma" w:hAnsi="Tahoma" w:cs="Tahoma"/>
          <w:sz w:val="24"/>
          <w:szCs w:val="24"/>
        </w:rPr>
      </w:pPr>
      <w:r w:rsidRPr="00263D48">
        <w:rPr>
          <w:rFonts w:ascii="Tahoma" w:hAnsi="Tahoma" w:cs="Tahoma"/>
          <w:sz w:val="24"/>
          <w:szCs w:val="24"/>
        </w:rPr>
        <w:t> </w:t>
      </w:r>
    </w:p>
    <w:p w14:paraId="24B3CB05" w14:textId="064C71EB" w:rsidR="007A5E8D" w:rsidRDefault="00EF0810" w:rsidP="00263D48">
      <w:pPr>
        <w:pStyle w:val="Sansinterligne"/>
        <w:rPr>
          <w:rFonts w:ascii="Tahoma" w:hAnsi="Tahoma" w:cs="Tahoma"/>
          <w:sz w:val="24"/>
          <w:szCs w:val="24"/>
        </w:rPr>
      </w:pPr>
      <w:r w:rsidRPr="00263D48">
        <w:rPr>
          <w:rFonts w:ascii="Segoe UI Emoji" w:hAnsi="Segoe UI Emoji" w:cs="Segoe UI Emoji"/>
          <w:sz w:val="24"/>
          <w:szCs w:val="24"/>
        </w:rPr>
        <w:t>⚠️</w:t>
      </w:r>
      <w:r w:rsidRPr="00263D48">
        <w:rPr>
          <w:rFonts w:ascii="Tahoma" w:hAnsi="Tahoma" w:cs="Tahoma"/>
          <w:sz w:val="24"/>
          <w:szCs w:val="24"/>
        </w:rPr>
        <w:t> </w:t>
      </w:r>
      <w:r w:rsidR="00263D48">
        <w:rPr>
          <w:rFonts w:ascii="Tahoma" w:hAnsi="Tahoma" w:cs="Tahoma"/>
          <w:sz w:val="24"/>
          <w:szCs w:val="24"/>
        </w:rPr>
        <w:t>I</w:t>
      </w:r>
      <w:r w:rsidRPr="00263D48">
        <w:rPr>
          <w:rFonts w:ascii="Tahoma" w:hAnsi="Tahoma" w:cs="Tahoma"/>
          <w:sz w:val="24"/>
          <w:szCs w:val="24"/>
        </w:rPr>
        <w:t xml:space="preserve">l s’agit bien des supports de communication, </w:t>
      </w:r>
      <w:r w:rsidRPr="00263D48">
        <w:rPr>
          <w:rFonts w:ascii="Tahoma" w:hAnsi="Tahoma" w:cs="Tahoma"/>
          <w:b/>
          <w:bCs/>
          <w:color w:val="EE0000"/>
          <w:sz w:val="24"/>
          <w:szCs w:val="24"/>
        </w:rPr>
        <w:t>donc cela ne concerne pas les devis et factures</w:t>
      </w:r>
      <w:r w:rsidRPr="00263D48">
        <w:rPr>
          <w:rFonts w:ascii="Tahoma" w:hAnsi="Tahoma" w:cs="Tahoma"/>
          <w:sz w:val="24"/>
          <w:szCs w:val="24"/>
        </w:rPr>
        <w:t>.</w:t>
      </w:r>
    </w:p>
    <w:p w14:paraId="76321E12" w14:textId="77777777" w:rsidR="007A5E8D" w:rsidRPr="00844E05" w:rsidRDefault="007A5E8D" w:rsidP="00844E05">
      <w:pPr>
        <w:pStyle w:val="Sansinterligne"/>
        <w:jc w:val="both"/>
        <w:rPr>
          <w:rFonts w:ascii="Tahoma" w:hAnsi="Tahoma" w:cs="Tahoma"/>
          <w:sz w:val="24"/>
          <w:szCs w:val="24"/>
        </w:rPr>
      </w:pPr>
    </w:p>
    <w:p w14:paraId="1913E7D7" w14:textId="77777777" w:rsidR="00A14BDD" w:rsidRDefault="00A14BDD" w:rsidP="00F46D90">
      <w:pPr>
        <w:pStyle w:val="Paragraphedeliste"/>
        <w:numPr>
          <w:ilvl w:val="0"/>
          <w:numId w:val="3"/>
        </w:numPr>
        <w:jc w:val="center"/>
        <w:rPr>
          <w:b/>
          <w:bCs/>
          <w:color w:val="156082" w:themeColor="accent1"/>
          <w:sz w:val="28"/>
          <w:szCs w:val="28"/>
          <w:u w:val="single"/>
          <w:lang w:eastAsia="fr-FR"/>
        </w:rPr>
      </w:pPr>
      <w:r w:rsidRPr="003751EF">
        <w:rPr>
          <w:b/>
          <w:bCs/>
          <w:color w:val="156082" w:themeColor="accent1"/>
          <w:sz w:val="28"/>
          <w:szCs w:val="28"/>
          <w:u w:val="single"/>
          <w:lang w:eastAsia="fr-FR"/>
        </w:rPr>
        <w:t>QUESTIONS FREQUENTES :</w:t>
      </w:r>
    </w:p>
    <w:p w14:paraId="16A37B88" w14:textId="77777777" w:rsidR="00871A60" w:rsidRDefault="00871A60" w:rsidP="00871A60">
      <w:pPr>
        <w:pStyle w:val="Sansinterligne"/>
        <w:rPr>
          <w:rFonts w:ascii="Tahoma" w:hAnsi="Tahoma" w:cs="Tahoma"/>
          <w:b/>
          <w:bCs/>
          <w:i/>
          <w:iCs/>
          <w:color w:val="FF0000"/>
          <w:sz w:val="24"/>
          <w:szCs w:val="24"/>
        </w:rPr>
      </w:pPr>
    </w:p>
    <w:p w14:paraId="1527753F" w14:textId="5DBA9766" w:rsidR="00E220A5" w:rsidRPr="00BB0432" w:rsidRDefault="00E220A5" w:rsidP="00E220A5">
      <w:pPr>
        <w:pStyle w:val="Sansinterligne"/>
        <w:numPr>
          <w:ilvl w:val="0"/>
          <w:numId w:val="1"/>
        </w:numPr>
        <w:rPr>
          <w:rFonts w:ascii="Tahoma" w:hAnsi="Tahoma" w:cs="Tahoma"/>
          <w:b/>
          <w:bCs/>
          <w:i/>
          <w:iCs/>
          <w:color w:val="FF0000"/>
          <w:sz w:val="24"/>
          <w:szCs w:val="24"/>
        </w:rPr>
      </w:pPr>
      <w:r>
        <w:rPr>
          <w:rFonts w:ascii="Tahoma" w:hAnsi="Tahoma" w:cs="Tahoma"/>
          <w:b/>
          <w:bCs/>
          <w:i/>
          <w:iCs/>
          <w:color w:val="FF0000"/>
          <w:sz w:val="24"/>
          <w:szCs w:val="24"/>
        </w:rPr>
        <w:t xml:space="preserve">Démission d’un salarié pendant un arrêt maladie : attention à vos obligations </w:t>
      </w:r>
    </w:p>
    <w:p w14:paraId="4344392F" w14:textId="77777777" w:rsidR="00E220A5" w:rsidRDefault="00E220A5" w:rsidP="00E220A5">
      <w:pPr>
        <w:pStyle w:val="Sansinterligne"/>
        <w:rPr>
          <w:rFonts w:ascii="Tahoma" w:hAnsi="Tahoma" w:cs="Tahoma"/>
          <w:b/>
          <w:bCs/>
          <w:i/>
          <w:iCs/>
          <w:color w:val="FF0000"/>
          <w:sz w:val="24"/>
          <w:szCs w:val="24"/>
        </w:rPr>
      </w:pPr>
    </w:p>
    <w:p w14:paraId="1874D3E0" w14:textId="424E3B67" w:rsidR="00E220A5" w:rsidRPr="00A544BB" w:rsidRDefault="00A544BB" w:rsidP="00E220A5">
      <w:pPr>
        <w:pStyle w:val="Sansinterligne"/>
        <w:rPr>
          <w:rFonts w:ascii="Tahoma" w:hAnsi="Tahoma" w:cs="Tahoma"/>
          <w:sz w:val="24"/>
          <w:szCs w:val="24"/>
        </w:rPr>
      </w:pPr>
      <w:r w:rsidRPr="00A544BB">
        <w:rPr>
          <w:rFonts w:ascii="Tahoma" w:hAnsi="Tahoma" w:cs="Tahoma"/>
          <w:sz w:val="24"/>
          <w:szCs w:val="24"/>
        </w:rPr>
        <w:t>Votre salarié vous a adressé sa démission alors qu’il est en arrêt maladie.</w:t>
      </w:r>
    </w:p>
    <w:p w14:paraId="5DF1008E" w14:textId="4133A737" w:rsidR="00A544BB" w:rsidRPr="00A544BB" w:rsidRDefault="00A544BB" w:rsidP="00E220A5">
      <w:pPr>
        <w:pStyle w:val="Sansinterligne"/>
        <w:rPr>
          <w:rFonts w:ascii="Tahoma" w:hAnsi="Tahoma" w:cs="Tahoma"/>
          <w:sz w:val="24"/>
          <w:szCs w:val="24"/>
        </w:rPr>
      </w:pPr>
      <w:r w:rsidRPr="00A544BB">
        <w:rPr>
          <w:rFonts w:ascii="Tahoma" w:hAnsi="Tahoma" w:cs="Tahoma"/>
          <w:sz w:val="24"/>
          <w:szCs w:val="24"/>
        </w:rPr>
        <w:t>Cela ne vou</w:t>
      </w:r>
      <w:r>
        <w:rPr>
          <w:rFonts w:ascii="Tahoma" w:hAnsi="Tahoma" w:cs="Tahoma"/>
          <w:sz w:val="24"/>
          <w:szCs w:val="24"/>
        </w:rPr>
        <w:t xml:space="preserve">s </w:t>
      </w:r>
      <w:r w:rsidRPr="00A544BB">
        <w:rPr>
          <w:rFonts w:ascii="Tahoma" w:hAnsi="Tahoma" w:cs="Tahoma"/>
          <w:sz w:val="24"/>
          <w:szCs w:val="24"/>
        </w:rPr>
        <w:t xml:space="preserve">exonère pas de votre responsabilité de l’informer des visites </w:t>
      </w:r>
      <w:r>
        <w:rPr>
          <w:rFonts w:ascii="Tahoma" w:hAnsi="Tahoma" w:cs="Tahoma"/>
          <w:sz w:val="24"/>
          <w:szCs w:val="24"/>
        </w:rPr>
        <w:t>auxquelles</w:t>
      </w:r>
      <w:r w:rsidRPr="00A544BB">
        <w:rPr>
          <w:rFonts w:ascii="Tahoma" w:hAnsi="Tahoma" w:cs="Tahoma"/>
          <w:sz w:val="24"/>
          <w:szCs w:val="24"/>
        </w:rPr>
        <w:t xml:space="preserve"> il a droit.</w:t>
      </w:r>
    </w:p>
    <w:p w14:paraId="309171B1" w14:textId="77777777" w:rsidR="00A544BB" w:rsidRPr="00A544BB" w:rsidRDefault="00A544BB" w:rsidP="00E220A5">
      <w:pPr>
        <w:pStyle w:val="Sansinterligne"/>
        <w:rPr>
          <w:rFonts w:ascii="Tahoma" w:hAnsi="Tahoma" w:cs="Tahoma"/>
          <w:sz w:val="24"/>
          <w:szCs w:val="24"/>
        </w:rPr>
      </w:pPr>
    </w:p>
    <w:p w14:paraId="0B4B354E" w14:textId="75A2C42A" w:rsidR="00E623EC" w:rsidRPr="00A544BB" w:rsidRDefault="00A544BB" w:rsidP="00A544BB">
      <w:pPr>
        <w:pStyle w:val="Sansinterligne"/>
        <w:rPr>
          <w:rFonts w:ascii="Tahoma" w:hAnsi="Tahoma" w:cs="Tahoma"/>
          <w:sz w:val="24"/>
          <w:szCs w:val="24"/>
        </w:rPr>
      </w:pPr>
      <w:r w:rsidRPr="00A544BB">
        <w:rPr>
          <w:rFonts w:ascii="Tahoma" w:hAnsi="Tahoma" w:cs="Tahoma"/>
          <w:sz w:val="24"/>
          <w:szCs w:val="24"/>
        </w:rPr>
        <w:t xml:space="preserve">Ainsi, il est </w:t>
      </w:r>
      <w:r w:rsidR="00E623EC" w:rsidRPr="00A544BB">
        <w:rPr>
          <w:rFonts w:ascii="Tahoma" w:hAnsi="Tahoma" w:cs="Tahoma"/>
          <w:sz w:val="24"/>
          <w:szCs w:val="24"/>
        </w:rPr>
        <w:t xml:space="preserve"> impératif d'informer votre salarié, en arrêt depuis plus de 30 jours, sur la possibilité d'une </w:t>
      </w:r>
      <w:r w:rsidR="00E623EC" w:rsidRPr="00A544BB">
        <w:rPr>
          <w:rFonts w:ascii="Tahoma" w:hAnsi="Tahoma" w:cs="Tahoma"/>
          <w:b/>
          <w:bCs/>
          <w:sz w:val="24"/>
          <w:szCs w:val="24"/>
          <w:u w:val="single"/>
        </w:rPr>
        <w:t>visite de pré-reprise et d'un rendez-vous de liaison</w:t>
      </w:r>
      <w:r w:rsidR="00E623EC" w:rsidRPr="00A544BB">
        <w:rPr>
          <w:rFonts w:ascii="Tahoma" w:hAnsi="Tahoma" w:cs="Tahoma"/>
          <w:sz w:val="24"/>
          <w:szCs w:val="24"/>
        </w:rPr>
        <w:t xml:space="preserve"> (obligation légale de l'employeur). </w:t>
      </w:r>
    </w:p>
    <w:p w14:paraId="5F489573" w14:textId="77777777" w:rsidR="00E623EC" w:rsidRPr="00A544BB" w:rsidRDefault="00E623EC" w:rsidP="00E623EC">
      <w:pPr>
        <w:pStyle w:val="Sansinterligne"/>
        <w:jc w:val="both"/>
        <w:rPr>
          <w:rFonts w:ascii="Tahoma" w:hAnsi="Tahoma" w:cs="Tahoma"/>
          <w:sz w:val="24"/>
          <w:szCs w:val="24"/>
        </w:rPr>
      </w:pPr>
    </w:p>
    <w:p w14:paraId="7E9A4BBE" w14:textId="77777777" w:rsidR="00E623EC" w:rsidRDefault="00E623EC" w:rsidP="00E623EC">
      <w:pPr>
        <w:pStyle w:val="Sansinterligne"/>
        <w:numPr>
          <w:ilvl w:val="0"/>
          <w:numId w:val="22"/>
        </w:numPr>
        <w:jc w:val="both"/>
        <w:rPr>
          <w:rFonts w:ascii="Tahoma" w:hAnsi="Tahoma" w:cs="Tahoma"/>
          <w:sz w:val="24"/>
          <w:szCs w:val="24"/>
        </w:rPr>
      </w:pPr>
      <w:r w:rsidRPr="00A544BB">
        <w:rPr>
          <w:rFonts w:ascii="Tahoma" w:hAnsi="Tahoma" w:cs="Tahoma"/>
          <w:b/>
          <w:bCs/>
          <w:sz w:val="24"/>
          <w:szCs w:val="24"/>
          <w:u w:val="single"/>
        </w:rPr>
        <w:t>Le rendez-vous de liaison</w:t>
      </w:r>
      <w:r w:rsidRPr="00A544BB">
        <w:rPr>
          <w:rFonts w:ascii="Tahoma" w:hAnsi="Tahoma" w:cs="Tahoma"/>
          <w:sz w:val="24"/>
          <w:szCs w:val="24"/>
        </w:rPr>
        <w:t> : en cas d’arrêt maladie / accident de travail de plus de 30 jours. L’employeur informe le salarié de la possibilité d’organiser un rendez-vous de liaison par tout moyen permettant d’en apporter la preuve.</w:t>
      </w:r>
    </w:p>
    <w:p w14:paraId="2706E27B" w14:textId="77777777" w:rsidR="00BB0432" w:rsidRPr="00A544BB" w:rsidRDefault="00BB0432" w:rsidP="00BB0432">
      <w:pPr>
        <w:pStyle w:val="Sansinterligne"/>
        <w:ind w:left="720"/>
        <w:jc w:val="both"/>
        <w:rPr>
          <w:rFonts w:ascii="Tahoma" w:hAnsi="Tahoma" w:cs="Tahoma"/>
          <w:sz w:val="24"/>
          <w:szCs w:val="24"/>
        </w:rPr>
      </w:pPr>
    </w:p>
    <w:p w14:paraId="0058B89B"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Rendez-vous organisé, à l’initiative de l’employeur ou du salarié et réalisé entre le salarié et l’employeur, associant le service de prévention et de santé au travail. Il permet d’informer le salarié des actions de prévention de l’examen de pré-reprise et de mesures individuelles.</w:t>
      </w:r>
    </w:p>
    <w:p w14:paraId="66AEBA18" w14:textId="77777777" w:rsidR="00E623EC" w:rsidRPr="00A544BB" w:rsidRDefault="00E623EC" w:rsidP="00E623EC">
      <w:pPr>
        <w:pStyle w:val="Sansinterligne"/>
        <w:jc w:val="both"/>
        <w:rPr>
          <w:rFonts w:ascii="Tahoma" w:hAnsi="Tahoma" w:cs="Tahoma"/>
          <w:sz w:val="24"/>
          <w:szCs w:val="24"/>
        </w:rPr>
      </w:pPr>
    </w:p>
    <w:p w14:paraId="582615DE" w14:textId="77777777" w:rsidR="00E623EC" w:rsidRDefault="00E623EC" w:rsidP="00E623EC">
      <w:pPr>
        <w:pStyle w:val="Sansinterligne"/>
        <w:numPr>
          <w:ilvl w:val="0"/>
          <w:numId w:val="22"/>
        </w:numPr>
        <w:jc w:val="both"/>
        <w:rPr>
          <w:rFonts w:ascii="Tahoma" w:hAnsi="Tahoma" w:cs="Tahoma"/>
          <w:sz w:val="24"/>
          <w:szCs w:val="24"/>
        </w:rPr>
      </w:pPr>
      <w:r w:rsidRPr="00A544BB">
        <w:rPr>
          <w:rFonts w:ascii="Tahoma" w:hAnsi="Tahoma" w:cs="Tahoma"/>
          <w:b/>
          <w:bCs/>
          <w:sz w:val="24"/>
          <w:szCs w:val="24"/>
          <w:u w:val="single"/>
        </w:rPr>
        <w:t>L'examen de pré-reprise</w:t>
      </w:r>
      <w:r w:rsidRPr="00A544BB">
        <w:rPr>
          <w:rFonts w:ascii="Tahoma" w:hAnsi="Tahoma" w:cs="Tahoma"/>
          <w:sz w:val="24"/>
          <w:szCs w:val="24"/>
        </w:rPr>
        <w:t> : en cas d’arrêt maladie / accident de travail de plus de 30 jours, l’employeur informe le salarié de la possibilité de solliciter l’organisation d’un examen de pré-reprise, par tout moyen permettant d’en apporter la preuve.</w:t>
      </w:r>
    </w:p>
    <w:p w14:paraId="6F3659F5" w14:textId="77777777" w:rsidR="00BB0432" w:rsidRPr="00A544BB" w:rsidRDefault="00BB0432" w:rsidP="00BB0432">
      <w:pPr>
        <w:pStyle w:val="Sansinterligne"/>
        <w:ind w:left="720"/>
        <w:jc w:val="both"/>
        <w:rPr>
          <w:rFonts w:ascii="Tahoma" w:hAnsi="Tahoma" w:cs="Tahoma"/>
          <w:sz w:val="24"/>
          <w:szCs w:val="24"/>
        </w:rPr>
      </w:pPr>
    </w:p>
    <w:p w14:paraId="4821C422"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Seuls le salarié, le médecin traitant, la CPAM et le médecin du travail peuvent être à l’initiative de cette visite. Ce rendez-vous permet d’étudier la mise en œuvre de mesures d’adaptation individuelles.</w:t>
      </w:r>
    </w:p>
    <w:p w14:paraId="526E2810" w14:textId="77777777" w:rsidR="00E623EC" w:rsidRPr="00A544BB" w:rsidRDefault="00E623EC" w:rsidP="00E623EC">
      <w:pPr>
        <w:pStyle w:val="Sansinterligne"/>
        <w:jc w:val="both"/>
        <w:rPr>
          <w:rFonts w:ascii="Tahoma" w:hAnsi="Tahoma" w:cs="Tahoma"/>
          <w:sz w:val="24"/>
          <w:szCs w:val="24"/>
        </w:rPr>
      </w:pPr>
    </w:p>
    <w:p w14:paraId="6703D43D"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Je vous prie de bien vouloir trouver ci-joint un modèle de courrier d'information du salarié sur ces deux rendez-vous à lui remettre par tout moyen conférent date certaine à sa réception. </w:t>
      </w:r>
    </w:p>
    <w:p w14:paraId="18F20D9E" w14:textId="77777777" w:rsidR="00E623EC" w:rsidRPr="00A544BB" w:rsidRDefault="00E623EC" w:rsidP="00E623EC">
      <w:pPr>
        <w:pStyle w:val="Sansinterligne"/>
        <w:jc w:val="both"/>
        <w:rPr>
          <w:rFonts w:ascii="Tahoma" w:hAnsi="Tahoma" w:cs="Tahoma"/>
          <w:sz w:val="24"/>
          <w:szCs w:val="24"/>
        </w:rPr>
      </w:pPr>
    </w:p>
    <w:p w14:paraId="190117A1"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 xml:space="preserve">Par ailleurs, pour rappel, une </w:t>
      </w:r>
      <w:r w:rsidRPr="00A544BB">
        <w:rPr>
          <w:rFonts w:ascii="Tahoma" w:hAnsi="Tahoma" w:cs="Tahoma"/>
          <w:b/>
          <w:bCs/>
          <w:sz w:val="24"/>
          <w:szCs w:val="24"/>
          <w:u w:val="single"/>
        </w:rPr>
        <w:t>visite de reprise</w:t>
      </w:r>
      <w:r w:rsidRPr="00A544BB">
        <w:rPr>
          <w:rFonts w:ascii="Tahoma" w:hAnsi="Tahoma" w:cs="Tahoma"/>
          <w:sz w:val="24"/>
          <w:szCs w:val="24"/>
        </w:rPr>
        <w:t xml:space="preserve"> doit être organisée à l'issue : </w:t>
      </w:r>
    </w:p>
    <w:p w14:paraId="59F43BED" w14:textId="77777777" w:rsidR="00E623EC" w:rsidRPr="00A544BB" w:rsidRDefault="00E623EC" w:rsidP="00E623EC">
      <w:pPr>
        <w:pStyle w:val="Sansinterligne"/>
        <w:numPr>
          <w:ilvl w:val="0"/>
          <w:numId w:val="23"/>
        </w:numPr>
        <w:jc w:val="both"/>
        <w:rPr>
          <w:rFonts w:ascii="Tahoma" w:hAnsi="Tahoma" w:cs="Tahoma"/>
          <w:sz w:val="24"/>
          <w:szCs w:val="24"/>
        </w:rPr>
      </w:pPr>
      <w:r w:rsidRPr="00A544BB">
        <w:rPr>
          <w:rFonts w:ascii="Tahoma" w:hAnsi="Tahoma" w:cs="Tahoma"/>
          <w:b/>
          <w:bCs/>
          <w:sz w:val="24"/>
          <w:szCs w:val="24"/>
        </w:rPr>
        <w:t>D'un arrêt pour maladie / accident non professionnel ayant entraîné un arrêt supérieur à 60 jours</w:t>
      </w:r>
      <w:r w:rsidRPr="00A544BB">
        <w:rPr>
          <w:rFonts w:ascii="Tahoma" w:hAnsi="Tahoma" w:cs="Tahoma"/>
          <w:sz w:val="24"/>
          <w:szCs w:val="24"/>
        </w:rPr>
        <w:t xml:space="preserve"> ; </w:t>
      </w:r>
    </w:p>
    <w:p w14:paraId="09ABD508" w14:textId="77777777" w:rsidR="00E623EC" w:rsidRPr="00A544BB" w:rsidRDefault="00E623EC" w:rsidP="00E623EC">
      <w:pPr>
        <w:pStyle w:val="Sansinterligne"/>
        <w:numPr>
          <w:ilvl w:val="0"/>
          <w:numId w:val="23"/>
        </w:numPr>
        <w:jc w:val="both"/>
        <w:rPr>
          <w:rFonts w:ascii="Tahoma" w:hAnsi="Tahoma" w:cs="Tahoma"/>
          <w:sz w:val="24"/>
          <w:szCs w:val="24"/>
        </w:rPr>
      </w:pPr>
      <w:r w:rsidRPr="00A544BB">
        <w:rPr>
          <w:rFonts w:ascii="Tahoma" w:hAnsi="Tahoma" w:cs="Tahoma"/>
          <w:sz w:val="24"/>
          <w:szCs w:val="24"/>
        </w:rPr>
        <w:t>D'un accident de travail ayant entraîné un arrêt d'au moins 30 jours ; </w:t>
      </w:r>
    </w:p>
    <w:p w14:paraId="201856E5" w14:textId="77777777" w:rsidR="00E623EC" w:rsidRPr="00A544BB" w:rsidRDefault="00E623EC" w:rsidP="00E623EC">
      <w:pPr>
        <w:pStyle w:val="Sansinterligne"/>
        <w:numPr>
          <w:ilvl w:val="0"/>
          <w:numId w:val="23"/>
        </w:numPr>
        <w:jc w:val="both"/>
        <w:rPr>
          <w:rFonts w:ascii="Tahoma" w:hAnsi="Tahoma" w:cs="Tahoma"/>
          <w:sz w:val="24"/>
          <w:szCs w:val="24"/>
        </w:rPr>
      </w:pPr>
      <w:r w:rsidRPr="00A544BB">
        <w:rPr>
          <w:rFonts w:ascii="Tahoma" w:hAnsi="Tahoma" w:cs="Tahoma"/>
          <w:sz w:val="24"/>
          <w:szCs w:val="24"/>
        </w:rPr>
        <w:t>D'une maladie professionnelle, quelle que soit sa durée ; </w:t>
      </w:r>
    </w:p>
    <w:p w14:paraId="60CA5180" w14:textId="77777777" w:rsidR="00E623EC" w:rsidRPr="00A544BB" w:rsidRDefault="00E623EC" w:rsidP="00E623EC">
      <w:pPr>
        <w:pStyle w:val="Sansinterligne"/>
        <w:numPr>
          <w:ilvl w:val="0"/>
          <w:numId w:val="23"/>
        </w:numPr>
        <w:jc w:val="both"/>
        <w:rPr>
          <w:rFonts w:ascii="Tahoma" w:hAnsi="Tahoma" w:cs="Tahoma"/>
          <w:sz w:val="24"/>
          <w:szCs w:val="24"/>
        </w:rPr>
      </w:pPr>
      <w:r w:rsidRPr="00A544BB">
        <w:rPr>
          <w:rFonts w:ascii="Tahoma" w:hAnsi="Tahoma" w:cs="Tahoma"/>
          <w:sz w:val="24"/>
          <w:szCs w:val="24"/>
        </w:rPr>
        <w:t>D'un congé de maternité. </w:t>
      </w:r>
    </w:p>
    <w:p w14:paraId="4CA59230" w14:textId="77777777" w:rsidR="00E623EC" w:rsidRPr="00A544BB" w:rsidRDefault="00E623EC" w:rsidP="00E623EC">
      <w:pPr>
        <w:pStyle w:val="Sansinterligne"/>
        <w:jc w:val="both"/>
        <w:rPr>
          <w:rFonts w:ascii="Tahoma" w:hAnsi="Tahoma" w:cs="Tahoma"/>
          <w:sz w:val="24"/>
          <w:szCs w:val="24"/>
        </w:rPr>
      </w:pPr>
    </w:p>
    <w:p w14:paraId="06E60A7E"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 xml:space="preserve">Concernant la visite de reprise, même si le Code du travail pose un délai maximal de 8 jours depuis la reprise pour effectuer la visite de reprise, </w:t>
      </w:r>
      <w:r w:rsidRPr="00A544BB">
        <w:rPr>
          <w:rFonts w:ascii="Tahoma" w:hAnsi="Tahoma" w:cs="Tahoma"/>
          <w:b/>
          <w:bCs/>
          <w:sz w:val="24"/>
          <w:szCs w:val="24"/>
        </w:rPr>
        <w:t>nous vous recommandons fortement de ne pas faire reprendre vos salariés avant d'avoir passé la visite médicale de reprise et d'avoir obtenu la confirmation du médecin du travail de l'aptitude du salarié à son poste</w:t>
      </w:r>
      <w:r w:rsidRPr="00A544BB">
        <w:rPr>
          <w:rFonts w:ascii="Tahoma" w:hAnsi="Tahoma" w:cs="Tahoma"/>
          <w:sz w:val="24"/>
          <w:szCs w:val="24"/>
        </w:rPr>
        <w:t>. </w:t>
      </w:r>
    </w:p>
    <w:p w14:paraId="422D2917" w14:textId="77777777" w:rsidR="00E623EC" w:rsidRPr="00A544BB" w:rsidRDefault="00E623EC" w:rsidP="00E623EC">
      <w:pPr>
        <w:pStyle w:val="Sansinterligne"/>
        <w:jc w:val="both"/>
        <w:rPr>
          <w:rFonts w:ascii="Tahoma" w:hAnsi="Tahoma" w:cs="Tahoma"/>
          <w:sz w:val="24"/>
          <w:szCs w:val="24"/>
        </w:rPr>
      </w:pPr>
      <w:r w:rsidRPr="00A544BB">
        <w:rPr>
          <w:rFonts w:ascii="Tahoma" w:hAnsi="Tahoma" w:cs="Tahoma"/>
          <w:sz w:val="24"/>
          <w:szCs w:val="24"/>
        </w:rPr>
        <w:t>En effet, si le salarié reprend son poste sans que le médecin du travail ne se soit prononcé sur son aptitude et qu'il se blesse de nouveau, cela peut être préjudiciable pour l'employeur et peut engager sa responsabilité d'autant plus au regard de la durée du l'arrêt de votre salarié.</w:t>
      </w:r>
    </w:p>
    <w:p w14:paraId="39CD909E" w14:textId="6982583E" w:rsidR="007A5E8D" w:rsidRDefault="00E623EC" w:rsidP="006B7EB3">
      <w:pPr>
        <w:pStyle w:val="Sansinterligne"/>
        <w:jc w:val="both"/>
        <w:rPr>
          <w:rFonts w:ascii="Tahoma" w:hAnsi="Tahoma" w:cs="Tahoma"/>
          <w:sz w:val="24"/>
          <w:szCs w:val="24"/>
        </w:rPr>
      </w:pPr>
      <w:r w:rsidRPr="00A544BB">
        <w:rPr>
          <w:rFonts w:ascii="Tahoma" w:hAnsi="Tahoma" w:cs="Tahoma"/>
          <w:sz w:val="24"/>
          <w:szCs w:val="24"/>
        </w:rPr>
        <w:t>Dans ce cas, il conviendra de le dispenser d'activité entre la date de sa reprise et la date de sa visite de reprise et de le rémunérer. </w:t>
      </w:r>
    </w:p>
    <w:p w14:paraId="76F15967" w14:textId="4A407D00" w:rsidR="007A5E8D" w:rsidRDefault="00A544BB" w:rsidP="006B7EB3">
      <w:pPr>
        <w:pStyle w:val="Sansinterligne"/>
        <w:jc w:val="both"/>
        <w:rPr>
          <w:rFonts w:ascii="Tahoma" w:hAnsi="Tahoma" w:cs="Tahoma"/>
          <w:sz w:val="24"/>
          <w:szCs w:val="24"/>
        </w:rPr>
      </w:pPr>
      <w:r>
        <w:rPr>
          <w:rFonts w:ascii="Tahoma" w:hAnsi="Tahoma" w:cs="Tahoma"/>
          <w:sz w:val="24"/>
          <w:szCs w:val="24"/>
        </w:rPr>
        <w:t xml:space="preserve">Pour aller plus loin et voir notre modèle de courrier </w:t>
      </w:r>
      <w:bookmarkStart w:id="1" w:name="_MON_1854695725"/>
      <w:bookmarkEnd w:id="1"/>
      <w:r w:rsidRPr="00A544BB">
        <w:rPr>
          <w:rFonts w:ascii="Tahoma" w:hAnsi="Tahoma" w:cs="Tahoma"/>
          <w:sz w:val="24"/>
          <w:szCs w:val="24"/>
          <w:highlight w:val="yellow"/>
        </w:rPr>
        <w:object w:dxaOrig="1540" w:dyaOrig="997" w14:anchorId="27084F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85pt" o:ole="">
            <v:imagedata r:id="rId18" o:title=""/>
          </v:shape>
          <o:OLEObject Type="Embed" ProgID="Word.Document.8" ShapeID="_x0000_i1025" DrawAspect="Icon" ObjectID="_1854777127" r:id="rId19">
            <o:FieldCodes>\s</o:FieldCodes>
          </o:OLEObject>
        </w:object>
      </w:r>
    </w:p>
    <w:p w14:paraId="7D307FDF" w14:textId="77777777" w:rsidR="00A544BB" w:rsidRDefault="00A544BB" w:rsidP="006B7EB3">
      <w:pPr>
        <w:pStyle w:val="Sansinterligne"/>
        <w:jc w:val="both"/>
        <w:rPr>
          <w:rFonts w:ascii="Tahoma" w:hAnsi="Tahoma" w:cs="Tahoma"/>
          <w:sz w:val="24"/>
          <w:szCs w:val="24"/>
        </w:rPr>
      </w:pPr>
    </w:p>
    <w:p w14:paraId="6AB4DA46" w14:textId="77777777" w:rsidR="00A544BB" w:rsidRDefault="00A544BB" w:rsidP="006B7EB3">
      <w:pPr>
        <w:pStyle w:val="Sansinterligne"/>
        <w:jc w:val="both"/>
        <w:rPr>
          <w:rFonts w:ascii="Tahoma" w:hAnsi="Tahoma" w:cs="Tahoma"/>
          <w:sz w:val="24"/>
          <w:szCs w:val="24"/>
        </w:rPr>
      </w:pPr>
    </w:p>
    <w:p w14:paraId="178B051F" w14:textId="0149CCF0" w:rsidR="00905088" w:rsidRDefault="00A544BB" w:rsidP="00905088">
      <w:pPr>
        <w:pStyle w:val="Sansinterligne"/>
        <w:numPr>
          <w:ilvl w:val="0"/>
          <w:numId w:val="1"/>
        </w:numPr>
        <w:rPr>
          <w:rFonts w:ascii="Tahoma" w:hAnsi="Tahoma" w:cs="Tahoma"/>
          <w:b/>
          <w:bCs/>
          <w:i/>
          <w:iCs/>
          <w:color w:val="FF0000"/>
          <w:sz w:val="24"/>
          <w:szCs w:val="24"/>
        </w:rPr>
      </w:pPr>
      <w:r>
        <w:rPr>
          <w:rFonts w:ascii="Tahoma" w:hAnsi="Tahoma" w:cs="Tahoma"/>
          <w:b/>
          <w:bCs/>
          <w:i/>
          <w:iCs/>
          <w:color w:val="FF0000"/>
          <w:sz w:val="24"/>
          <w:szCs w:val="24"/>
        </w:rPr>
        <w:t xml:space="preserve">Point de départ de la garantie décennale : précisions en cas de réception avec réserves </w:t>
      </w:r>
    </w:p>
    <w:p w14:paraId="235398D7" w14:textId="77777777" w:rsidR="00A544BB" w:rsidRDefault="00A544BB" w:rsidP="00A544BB">
      <w:pPr>
        <w:pStyle w:val="Sansinterligne"/>
        <w:rPr>
          <w:rFonts w:ascii="Tahoma" w:hAnsi="Tahoma" w:cs="Tahoma"/>
          <w:b/>
          <w:bCs/>
          <w:i/>
          <w:iCs/>
          <w:color w:val="FF0000"/>
          <w:sz w:val="24"/>
          <w:szCs w:val="24"/>
        </w:rPr>
      </w:pPr>
    </w:p>
    <w:p w14:paraId="03C03F52" w14:textId="6F040232" w:rsidR="00A544BB" w:rsidRDefault="00791743" w:rsidP="00791743">
      <w:pPr>
        <w:pStyle w:val="Sansinterligne"/>
        <w:jc w:val="both"/>
        <w:rPr>
          <w:rFonts w:ascii="Tahoma" w:hAnsi="Tahoma" w:cs="Tahoma"/>
          <w:sz w:val="24"/>
          <w:szCs w:val="24"/>
        </w:rPr>
      </w:pPr>
      <w:r w:rsidRPr="00791743">
        <w:rPr>
          <w:rFonts w:ascii="Tahoma" w:hAnsi="Tahoma" w:cs="Tahoma"/>
          <w:sz w:val="24"/>
          <w:szCs w:val="24"/>
        </w:rPr>
        <w:t xml:space="preserve">Dans une décision du 16 juin 2026, le Conseil d’Etat </w:t>
      </w:r>
      <w:r w:rsidR="00DF67A1">
        <w:rPr>
          <w:rFonts w:ascii="Tahoma" w:hAnsi="Tahoma" w:cs="Tahoma"/>
          <w:sz w:val="24"/>
          <w:szCs w:val="24"/>
        </w:rPr>
        <w:t xml:space="preserve">rappelle qu’en l’absence de stipulations </w:t>
      </w:r>
      <w:r w:rsidR="00172A5D">
        <w:rPr>
          <w:rFonts w:ascii="Tahoma" w:hAnsi="Tahoma" w:cs="Tahoma"/>
          <w:sz w:val="24"/>
          <w:szCs w:val="24"/>
        </w:rPr>
        <w:t>particulières</w:t>
      </w:r>
      <w:r w:rsidR="00DF67A1">
        <w:rPr>
          <w:rFonts w:ascii="Tahoma" w:hAnsi="Tahoma" w:cs="Tahoma"/>
          <w:sz w:val="24"/>
          <w:szCs w:val="24"/>
        </w:rPr>
        <w:t xml:space="preserve"> prévues par les documents </w:t>
      </w:r>
      <w:r w:rsidR="00172A5D">
        <w:rPr>
          <w:rFonts w:ascii="Tahoma" w:hAnsi="Tahoma" w:cs="Tahoma"/>
          <w:sz w:val="24"/>
          <w:szCs w:val="24"/>
        </w:rPr>
        <w:t>contractuels</w:t>
      </w:r>
      <w:r w:rsidR="00931626">
        <w:rPr>
          <w:rFonts w:ascii="Tahoma" w:hAnsi="Tahoma" w:cs="Tahoma"/>
          <w:sz w:val="24"/>
          <w:szCs w:val="24"/>
        </w:rPr>
        <w:t>, le délai d’</w:t>
      </w:r>
      <w:r w:rsidR="00172A5D">
        <w:rPr>
          <w:rFonts w:ascii="Tahoma" w:hAnsi="Tahoma" w:cs="Tahoma"/>
          <w:sz w:val="24"/>
          <w:szCs w:val="24"/>
        </w:rPr>
        <w:t>action</w:t>
      </w:r>
      <w:r w:rsidR="00931626">
        <w:rPr>
          <w:rFonts w:ascii="Tahoma" w:hAnsi="Tahoma" w:cs="Tahoma"/>
          <w:sz w:val="24"/>
          <w:szCs w:val="24"/>
        </w:rPr>
        <w:t xml:space="preserve"> e garantie décennale des </w:t>
      </w:r>
      <w:r w:rsidR="00172A5D">
        <w:rPr>
          <w:rFonts w:ascii="Tahoma" w:hAnsi="Tahoma" w:cs="Tahoma"/>
          <w:sz w:val="24"/>
          <w:szCs w:val="24"/>
        </w:rPr>
        <w:t>constructeurs</w:t>
      </w:r>
      <w:r w:rsidR="00931626">
        <w:rPr>
          <w:rFonts w:ascii="Tahoma" w:hAnsi="Tahoma" w:cs="Tahoma"/>
          <w:sz w:val="24"/>
          <w:szCs w:val="24"/>
        </w:rPr>
        <w:t xml:space="preserve"> commence à courir à compt</w:t>
      </w:r>
      <w:r w:rsidR="00172A5D">
        <w:rPr>
          <w:rFonts w:ascii="Tahoma" w:hAnsi="Tahoma" w:cs="Tahoma"/>
          <w:sz w:val="24"/>
          <w:szCs w:val="24"/>
        </w:rPr>
        <w:t>e</w:t>
      </w:r>
      <w:r w:rsidR="00931626">
        <w:rPr>
          <w:rFonts w:ascii="Tahoma" w:hAnsi="Tahoma" w:cs="Tahoma"/>
          <w:sz w:val="24"/>
          <w:szCs w:val="24"/>
        </w:rPr>
        <w:t xml:space="preserve">r de la </w:t>
      </w:r>
      <w:r w:rsidR="00A65320">
        <w:rPr>
          <w:rFonts w:ascii="Tahoma" w:hAnsi="Tahoma" w:cs="Tahoma"/>
          <w:sz w:val="24"/>
          <w:szCs w:val="24"/>
        </w:rPr>
        <w:t xml:space="preserve">date d’effet de la réception des travaux. </w:t>
      </w:r>
    </w:p>
    <w:p w14:paraId="7942408A" w14:textId="77777777" w:rsidR="00A65320" w:rsidRDefault="00A65320" w:rsidP="00791743">
      <w:pPr>
        <w:pStyle w:val="Sansinterligne"/>
        <w:jc w:val="both"/>
        <w:rPr>
          <w:rFonts w:ascii="Tahoma" w:hAnsi="Tahoma" w:cs="Tahoma"/>
          <w:sz w:val="24"/>
          <w:szCs w:val="24"/>
        </w:rPr>
      </w:pPr>
    </w:p>
    <w:p w14:paraId="545CEBC4" w14:textId="63E9CAD8" w:rsidR="00A65320" w:rsidRDefault="00A65320" w:rsidP="00791743">
      <w:pPr>
        <w:pStyle w:val="Sansinterligne"/>
        <w:jc w:val="both"/>
        <w:rPr>
          <w:rFonts w:ascii="Tahoma" w:hAnsi="Tahoma" w:cs="Tahoma"/>
          <w:b/>
          <w:bCs/>
          <w:sz w:val="24"/>
          <w:szCs w:val="24"/>
          <w:u w:val="single"/>
        </w:rPr>
      </w:pPr>
      <w:r>
        <w:rPr>
          <w:rFonts w:ascii="Tahoma" w:hAnsi="Tahoma" w:cs="Tahoma"/>
          <w:sz w:val="24"/>
          <w:szCs w:val="24"/>
        </w:rPr>
        <w:t xml:space="preserve">Il précise </w:t>
      </w:r>
      <w:r w:rsidR="00172A5D">
        <w:rPr>
          <w:rFonts w:ascii="Tahoma" w:hAnsi="Tahoma" w:cs="Tahoma"/>
          <w:sz w:val="24"/>
          <w:szCs w:val="24"/>
        </w:rPr>
        <w:t>également</w:t>
      </w:r>
      <w:r>
        <w:rPr>
          <w:rFonts w:ascii="Tahoma" w:hAnsi="Tahoma" w:cs="Tahoma"/>
          <w:sz w:val="24"/>
          <w:szCs w:val="24"/>
        </w:rPr>
        <w:t xml:space="preserve"> que </w:t>
      </w:r>
      <w:r w:rsidRPr="00172A5D">
        <w:rPr>
          <w:rFonts w:ascii="Tahoma" w:hAnsi="Tahoma" w:cs="Tahoma"/>
          <w:b/>
          <w:bCs/>
          <w:sz w:val="24"/>
          <w:szCs w:val="24"/>
          <w:u w:val="single"/>
        </w:rPr>
        <w:t xml:space="preserve">lorsque cette réception </w:t>
      </w:r>
      <w:r w:rsidR="00172A5D" w:rsidRPr="00172A5D">
        <w:rPr>
          <w:rFonts w:ascii="Tahoma" w:hAnsi="Tahoma" w:cs="Tahoma"/>
          <w:b/>
          <w:bCs/>
          <w:sz w:val="24"/>
          <w:szCs w:val="24"/>
          <w:u w:val="single"/>
        </w:rPr>
        <w:t>est</w:t>
      </w:r>
      <w:r w:rsidRPr="00172A5D">
        <w:rPr>
          <w:rFonts w:ascii="Tahoma" w:hAnsi="Tahoma" w:cs="Tahoma"/>
          <w:b/>
          <w:bCs/>
          <w:sz w:val="24"/>
          <w:szCs w:val="24"/>
          <w:u w:val="single"/>
        </w:rPr>
        <w:t xml:space="preserve"> </w:t>
      </w:r>
      <w:r w:rsidR="00172A5D" w:rsidRPr="00172A5D">
        <w:rPr>
          <w:rFonts w:ascii="Tahoma" w:hAnsi="Tahoma" w:cs="Tahoma"/>
          <w:b/>
          <w:bCs/>
          <w:sz w:val="24"/>
          <w:szCs w:val="24"/>
          <w:u w:val="single"/>
        </w:rPr>
        <w:t>prononcée</w:t>
      </w:r>
      <w:r w:rsidRPr="00172A5D">
        <w:rPr>
          <w:rFonts w:ascii="Tahoma" w:hAnsi="Tahoma" w:cs="Tahoma"/>
          <w:b/>
          <w:bCs/>
          <w:sz w:val="24"/>
          <w:szCs w:val="24"/>
          <w:u w:val="single"/>
        </w:rPr>
        <w:t xml:space="preserve"> avec réserves ou s</w:t>
      </w:r>
      <w:r w:rsidR="00172A5D" w:rsidRPr="00172A5D">
        <w:rPr>
          <w:rFonts w:ascii="Tahoma" w:hAnsi="Tahoma" w:cs="Tahoma"/>
          <w:b/>
          <w:bCs/>
          <w:sz w:val="24"/>
          <w:szCs w:val="24"/>
          <w:u w:val="single"/>
        </w:rPr>
        <w:t>ou</w:t>
      </w:r>
      <w:r w:rsidRPr="00172A5D">
        <w:rPr>
          <w:rFonts w:ascii="Tahoma" w:hAnsi="Tahoma" w:cs="Tahoma"/>
          <w:b/>
          <w:bCs/>
          <w:sz w:val="24"/>
          <w:szCs w:val="24"/>
          <w:u w:val="single"/>
        </w:rPr>
        <w:t>s réserves de l’</w:t>
      </w:r>
      <w:r w:rsidR="00172A5D" w:rsidRPr="00172A5D">
        <w:rPr>
          <w:rFonts w:ascii="Tahoma" w:hAnsi="Tahoma" w:cs="Tahoma"/>
          <w:b/>
          <w:bCs/>
          <w:sz w:val="24"/>
          <w:szCs w:val="24"/>
          <w:u w:val="single"/>
        </w:rPr>
        <w:t>exécution</w:t>
      </w:r>
      <w:r w:rsidRPr="00172A5D">
        <w:rPr>
          <w:rFonts w:ascii="Tahoma" w:hAnsi="Tahoma" w:cs="Tahoma"/>
          <w:b/>
          <w:bCs/>
          <w:sz w:val="24"/>
          <w:szCs w:val="24"/>
          <w:u w:val="single"/>
        </w:rPr>
        <w:t xml:space="preserve"> de certains travaux, ce </w:t>
      </w:r>
      <w:r w:rsidR="00172A5D" w:rsidRPr="00172A5D">
        <w:rPr>
          <w:rFonts w:ascii="Tahoma" w:hAnsi="Tahoma" w:cs="Tahoma"/>
          <w:b/>
          <w:bCs/>
          <w:sz w:val="24"/>
          <w:szCs w:val="24"/>
          <w:u w:val="single"/>
        </w:rPr>
        <w:t>délai</w:t>
      </w:r>
      <w:r w:rsidRPr="00172A5D">
        <w:rPr>
          <w:rFonts w:ascii="Tahoma" w:hAnsi="Tahoma" w:cs="Tahoma"/>
          <w:b/>
          <w:bCs/>
          <w:sz w:val="24"/>
          <w:szCs w:val="24"/>
          <w:u w:val="single"/>
        </w:rPr>
        <w:t xml:space="preserve"> </w:t>
      </w:r>
      <w:r w:rsidR="00172A5D" w:rsidRPr="00172A5D">
        <w:rPr>
          <w:rFonts w:ascii="Tahoma" w:hAnsi="Tahoma" w:cs="Tahoma"/>
          <w:b/>
          <w:bCs/>
          <w:sz w:val="24"/>
          <w:szCs w:val="24"/>
          <w:u w:val="single"/>
        </w:rPr>
        <w:t>commence</w:t>
      </w:r>
      <w:r w:rsidRPr="00172A5D">
        <w:rPr>
          <w:rFonts w:ascii="Tahoma" w:hAnsi="Tahoma" w:cs="Tahoma"/>
          <w:b/>
          <w:bCs/>
          <w:sz w:val="24"/>
          <w:szCs w:val="24"/>
          <w:u w:val="single"/>
        </w:rPr>
        <w:t xml:space="preserve"> à courir</w:t>
      </w:r>
      <w:r w:rsidR="00C6382A" w:rsidRPr="00172A5D">
        <w:rPr>
          <w:rFonts w:ascii="Tahoma" w:hAnsi="Tahoma" w:cs="Tahoma"/>
          <w:b/>
          <w:bCs/>
          <w:sz w:val="24"/>
          <w:szCs w:val="24"/>
          <w:u w:val="single"/>
        </w:rPr>
        <w:t xml:space="preserve">, en ce qui concerne </w:t>
      </w:r>
      <w:r w:rsidR="00172A5D" w:rsidRPr="00172A5D">
        <w:rPr>
          <w:rFonts w:ascii="Tahoma" w:hAnsi="Tahoma" w:cs="Tahoma"/>
          <w:b/>
          <w:bCs/>
          <w:sz w:val="24"/>
          <w:szCs w:val="24"/>
          <w:u w:val="single"/>
        </w:rPr>
        <w:t>l</w:t>
      </w:r>
      <w:r w:rsidR="00C6382A" w:rsidRPr="00172A5D">
        <w:rPr>
          <w:rFonts w:ascii="Tahoma" w:hAnsi="Tahoma" w:cs="Tahoma"/>
          <w:b/>
          <w:bCs/>
          <w:sz w:val="24"/>
          <w:szCs w:val="24"/>
          <w:u w:val="single"/>
        </w:rPr>
        <w:t xml:space="preserve">es travaux sur </w:t>
      </w:r>
      <w:r w:rsidR="00172A5D" w:rsidRPr="00172A5D">
        <w:rPr>
          <w:rFonts w:ascii="Tahoma" w:hAnsi="Tahoma" w:cs="Tahoma"/>
          <w:b/>
          <w:bCs/>
          <w:sz w:val="24"/>
          <w:szCs w:val="24"/>
          <w:u w:val="single"/>
        </w:rPr>
        <w:t>lesquels</w:t>
      </w:r>
      <w:r w:rsidR="00C6382A" w:rsidRPr="00172A5D">
        <w:rPr>
          <w:rFonts w:ascii="Tahoma" w:hAnsi="Tahoma" w:cs="Tahoma"/>
          <w:b/>
          <w:bCs/>
          <w:sz w:val="24"/>
          <w:szCs w:val="24"/>
          <w:u w:val="single"/>
        </w:rPr>
        <w:t xml:space="preserve"> portent les réserves, à la date d’</w:t>
      </w:r>
      <w:r w:rsidR="00172A5D" w:rsidRPr="00172A5D">
        <w:rPr>
          <w:rFonts w:ascii="Tahoma" w:hAnsi="Tahoma" w:cs="Tahoma"/>
          <w:b/>
          <w:bCs/>
          <w:sz w:val="24"/>
          <w:szCs w:val="24"/>
          <w:u w:val="single"/>
        </w:rPr>
        <w:t>effet</w:t>
      </w:r>
      <w:r w:rsidR="00C6382A" w:rsidRPr="00172A5D">
        <w:rPr>
          <w:rFonts w:ascii="Tahoma" w:hAnsi="Tahoma" w:cs="Tahoma"/>
          <w:b/>
          <w:bCs/>
          <w:sz w:val="24"/>
          <w:szCs w:val="24"/>
          <w:u w:val="single"/>
        </w:rPr>
        <w:t xml:space="preserve"> de la </w:t>
      </w:r>
      <w:r w:rsidR="00172A5D" w:rsidRPr="00172A5D">
        <w:rPr>
          <w:rFonts w:ascii="Tahoma" w:hAnsi="Tahoma" w:cs="Tahoma"/>
          <w:b/>
          <w:bCs/>
          <w:sz w:val="24"/>
          <w:szCs w:val="24"/>
          <w:u w:val="single"/>
        </w:rPr>
        <w:t>levée</w:t>
      </w:r>
      <w:r w:rsidR="00C6382A" w:rsidRPr="00172A5D">
        <w:rPr>
          <w:rFonts w:ascii="Tahoma" w:hAnsi="Tahoma" w:cs="Tahoma"/>
          <w:b/>
          <w:bCs/>
          <w:sz w:val="24"/>
          <w:szCs w:val="24"/>
          <w:u w:val="single"/>
        </w:rPr>
        <w:t xml:space="preserve"> des </w:t>
      </w:r>
      <w:r w:rsidR="00172A5D" w:rsidRPr="00172A5D">
        <w:rPr>
          <w:rFonts w:ascii="Tahoma" w:hAnsi="Tahoma" w:cs="Tahoma"/>
          <w:b/>
          <w:bCs/>
          <w:sz w:val="24"/>
          <w:szCs w:val="24"/>
          <w:u w:val="single"/>
        </w:rPr>
        <w:t>réserves</w:t>
      </w:r>
      <w:r w:rsidR="00C6382A" w:rsidRPr="00172A5D">
        <w:rPr>
          <w:rFonts w:ascii="Tahoma" w:hAnsi="Tahoma" w:cs="Tahoma"/>
          <w:b/>
          <w:bCs/>
          <w:sz w:val="24"/>
          <w:szCs w:val="24"/>
          <w:u w:val="single"/>
        </w:rPr>
        <w:t xml:space="preserve"> par le </w:t>
      </w:r>
      <w:r w:rsidR="00172A5D" w:rsidRPr="00172A5D">
        <w:rPr>
          <w:rFonts w:ascii="Tahoma" w:hAnsi="Tahoma" w:cs="Tahoma"/>
          <w:b/>
          <w:bCs/>
          <w:sz w:val="24"/>
          <w:szCs w:val="24"/>
          <w:u w:val="single"/>
        </w:rPr>
        <w:t>maître</w:t>
      </w:r>
      <w:r w:rsidR="00C6382A" w:rsidRPr="00172A5D">
        <w:rPr>
          <w:rFonts w:ascii="Tahoma" w:hAnsi="Tahoma" w:cs="Tahoma"/>
          <w:b/>
          <w:bCs/>
          <w:sz w:val="24"/>
          <w:szCs w:val="24"/>
          <w:u w:val="single"/>
        </w:rPr>
        <w:t xml:space="preserve"> d’</w:t>
      </w:r>
      <w:r w:rsidR="00172A5D" w:rsidRPr="00172A5D">
        <w:rPr>
          <w:rFonts w:ascii="Tahoma" w:hAnsi="Tahoma" w:cs="Tahoma"/>
          <w:b/>
          <w:bCs/>
          <w:sz w:val="24"/>
          <w:szCs w:val="24"/>
          <w:u w:val="single"/>
        </w:rPr>
        <w:t>ouvrage</w:t>
      </w:r>
      <w:r w:rsidR="00C6382A" w:rsidRPr="00172A5D">
        <w:rPr>
          <w:rFonts w:ascii="Tahoma" w:hAnsi="Tahoma" w:cs="Tahoma"/>
          <w:b/>
          <w:bCs/>
          <w:sz w:val="24"/>
          <w:szCs w:val="24"/>
          <w:u w:val="single"/>
        </w:rPr>
        <w:t xml:space="preserve">. </w:t>
      </w:r>
    </w:p>
    <w:p w14:paraId="4CAA6170" w14:textId="77777777" w:rsidR="00DB4733" w:rsidRDefault="00DB4733" w:rsidP="00791743">
      <w:pPr>
        <w:pStyle w:val="Sansinterligne"/>
        <w:jc w:val="both"/>
        <w:rPr>
          <w:rFonts w:ascii="Tahoma" w:hAnsi="Tahoma" w:cs="Tahoma"/>
          <w:b/>
          <w:bCs/>
          <w:sz w:val="24"/>
          <w:szCs w:val="24"/>
          <w:u w:val="single"/>
        </w:rPr>
      </w:pPr>
    </w:p>
    <w:p w14:paraId="360EE74F" w14:textId="5156DEEE" w:rsidR="00DB4733" w:rsidRPr="00172A5D" w:rsidRDefault="00DB4733" w:rsidP="00791743">
      <w:pPr>
        <w:pStyle w:val="Sansinterligne"/>
        <w:jc w:val="both"/>
        <w:rPr>
          <w:rFonts w:ascii="Tahoma" w:hAnsi="Tahoma" w:cs="Tahoma"/>
          <w:b/>
          <w:bCs/>
          <w:sz w:val="24"/>
          <w:szCs w:val="24"/>
          <w:u w:val="single"/>
        </w:rPr>
      </w:pPr>
      <w:r>
        <w:rPr>
          <w:rFonts w:ascii="Tahoma" w:hAnsi="Tahoma" w:cs="Tahoma"/>
          <w:b/>
          <w:bCs/>
          <w:sz w:val="24"/>
          <w:szCs w:val="24"/>
          <w:u w:val="single"/>
        </w:rPr>
        <w:t xml:space="preserve">Pour les travaux réceptionnés sans réserve, le délai commence à courir à la date d’effet de la réception. </w:t>
      </w:r>
    </w:p>
    <w:p w14:paraId="1FFF76A3" w14:textId="77777777" w:rsidR="006D2E4E" w:rsidRPr="00172A5D" w:rsidRDefault="006D2E4E" w:rsidP="00791743">
      <w:pPr>
        <w:pStyle w:val="Sansinterligne"/>
        <w:jc w:val="both"/>
        <w:rPr>
          <w:rFonts w:ascii="Tahoma" w:hAnsi="Tahoma" w:cs="Tahoma"/>
          <w:b/>
          <w:bCs/>
          <w:sz w:val="24"/>
          <w:szCs w:val="24"/>
          <w:u w:val="single"/>
        </w:rPr>
      </w:pPr>
    </w:p>
    <w:p w14:paraId="4AF29CBB" w14:textId="0927FDE3" w:rsidR="00172A5D" w:rsidRPr="00DB4733" w:rsidRDefault="00172A5D" w:rsidP="00791743">
      <w:pPr>
        <w:pStyle w:val="Sansinterligne"/>
        <w:jc w:val="both"/>
        <w:rPr>
          <w:rFonts w:ascii="Tahoma" w:hAnsi="Tahoma" w:cs="Tahoma"/>
          <w:i/>
          <w:iCs/>
          <w:sz w:val="24"/>
          <w:szCs w:val="24"/>
          <w:u w:val="single"/>
        </w:rPr>
      </w:pPr>
      <w:r w:rsidRPr="00DB4733">
        <w:rPr>
          <w:rFonts w:ascii="Tahoma" w:hAnsi="Tahoma" w:cs="Tahoma"/>
          <w:i/>
          <w:iCs/>
          <w:sz w:val="24"/>
          <w:szCs w:val="24"/>
          <w:u w:val="single"/>
        </w:rPr>
        <w:t>CE, 16 juin 2026, n°542524.</w:t>
      </w:r>
    </w:p>
    <w:p w14:paraId="7665BB33" w14:textId="77777777" w:rsidR="00905088" w:rsidRPr="00791743" w:rsidRDefault="00905088" w:rsidP="00791743">
      <w:pPr>
        <w:pStyle w:val="Sansinterligne"/>
        <w:jc w:val="both"/>
        <w:rPr>
          <w:rFonts w:ascii="Tahoma" w:hAnsi="Tahoma" w:cs="Tahoma"/>
          <w:sz w:val="24"/>
          <w:szCs w:val="24"/>
        </w:rPr>
      </w:pPr>
    </w:p>
    <w:p w14:paraId="45636610" w14:textId="77777777" w:rsidR="007A5E8D" w:rsidRDefault="007A5E8D" w:rsidP="006B7EB3">
      <w:pPr>
        <w:pStyle w:val="Sansinterligne"/>
        <w:jc w:val="both"/>
        <w:rPr>
          <w:rFonts w:ascii="Tahoma" w:hAnsi="Tahoma" w:cs="Tahoma"/>
          <w:sz w:val="24"/>
          <w:szCs w:val="24"/>
        </w:rPr>
      </w:pPr>
    </w:p>
    <w:p w14:paraId="2A854FCA" w14:textId="77777777" w:rsidR="007A5E8D" w:rsidRDefault="007A5E8D" w:rsidP="006B7EB3">
      <w:pPr>
        <w:pStyle w:val="Sansinterligne"/>
        <w:jc w:val="both"/>
        <w:rPr>
          <w:rFonts w:ascii="Tahoma" w:hAnsi="Tahoma" w:cs="Tahoma"/>
          <w:sz w:val="24"/>
          <w:szCs w:val="24"/>
        </w:rPr>
      </w:pPr>
    </w:p>
    <w:p w14:paraId="2392D846" w14:textId="77777777" w:rsidR="00F95803" w:rsidRDefault="00F95803" w:rsidP="00F95803">
      <w:pPr>
        <w:pStyle w:val="Sansinterligne"/>
        <w:kinsoku w:val="0"/>
        <w:overflowPunct w:val="0"/>
        <w:jc w:val="both"/>
        <w:rPr>
          <w:rFonts w:eastAsia="Times New Roman"/>
          <w:b/>
          <w:i/>
          <w:iCs/>
          <w:color w:val="808080" w:themeColor="background1" w:themeShade="80"/>
          <w:sz w:val="17"/>
          <w:szCs w:val="17"/>
          <w:u w:val="single"/>
          <w:lang w:eastAsia="fr-FR"/>
        </w:rPr>
      </w:pPr>
    </w:p>
    <w:p w14:paraId="00E55EBE" w14:textId="77777777" w:rsidR="00A14BDD" w:rsidRPr="009E7532" w:rsidRDefault="00A14BDD" w:rsidP="00A14BDD">
      <w:pPr>
        <w:rPr>
          <w:rFonts w:eastAsia="Times New Roman"/>
          <w:b/>
          <w:i/>
          <w:iCs/>
          <w:color w:val="808080" w:themeColor="background1" w:themeShade="80"/>
          <w:sz w:val="17"/>
          <w:szCs w:val="17"/>
          <w:u w:val="single"/>
          <w:lang w:eastAsia="fr-FR"/>
        </w:rPr>
      </w:pPr>
      <w:r w:rsidRPr="009E7532">
        <w:rPr>
          <w:rFonts w:eastAsia="Times New Roman"/>
          <w:b/>
          <w:i/>
          <w:iCs/>
          <w:color w:val="808080" w:themeColor="background1" w:themeShade="80"/>
          <w:sz w:val="17"/>
          <w:szCs w:val="17"/>
          <w:u w:val="single"/>
          <w:lang w:eastAsia="fr-FR"/>
        </w:rPr>
        <w:t>Pour joindre notre service juridique :</w:t>
      </w:r>
    </w:p>
    <w:p w14:paraId="7A70563E" w14:textId="77777777" w:rsidR="00A14BDD" w:rsidRPr="009E7532" w:rsidRDefault="00A14BDD" w:rsidP="00A14BDD">
      <w:pPr>
        <w:numPr>
          <w:ilvl w:val="0"/>
          <w:numId w:val="2"/>
        </w:numPr>
        <w:contextualSpacing/>
        <w:rPr>
          <w:rFonts w:eastAsia="Times New Roman"/>
          <w:i/>
          <w:iCs/>
          <w:color w:val="808080" w:themeColor="background1" w:themeShade="80"/>
          <w:sz w:val="17"/>
          <w:szCs w:val="17"/>
          <w:lang w:eastAsia="fr-FR"/>
        </w:rPr>
      </w:pPr>
      <w:r w:rsidRPr="009E7532">
        <w:rPr>
          <w:rFonts w:eastAsia="Times New Roman"/>
          <w:i/>
          <w:iCs/>
          <w:color w:val="808080" w:themeColor="background1" w:themeShade="80"/>
          <w:sz w:val="17"/>
          <w:szCs w:val="17"/>
          <w:lang w:eastAsia="fr-FR"/>
        </w:rPr>
        <w:t>Par téléphone : Joindre votre CAPEB départementale</w:t>
      </w:r>
    </w:p>
    <w:p w14:paraId="290B52EA" w14:textId="10FB5BDA" w:rsidR="00CD41D4" w:rsidRDefault="00A14BDD" w:rsidP="00844E05">
      <w:pPr>
        <w:numPr>
          <w:ilvl w:val="0"/>
          <w:numId w:val="2"/>
        </w:numPr>
        <w:contextualSpacing/>
      </w:pPr>
      <w:r w:rsidRPr="000F4D69">
        <w:rPr>
          <w:rFonts w:eastAsia="Times New Roman"/>
          <w:i/>
          <w:iCs/>
          <w:color w:val="808080" w:themeColor="background1" w:themeShade="80"/>
          <w:sz w:val="17"/>
          <w:szCs w:val="17"/>
          <w:lang w:eastAsia="fr-FR"/>
        </w:rPr>
        <w:t xml:space="preserve">Par mail : </w:t>
      </w:r>
      <w:hyperlink r:id="rId20" w:history="1">
        <w:r w:rsidRPr="000F4D69">
          <w:rPr>
            <w:rFonts w:eastAsia="Times New Roman"/>
            <w:i/>
            <w:iCs/>
            <w:color w:val="808080" w:themeColor="background1" w:themeShade="80"/>
            <w:sz w:val="17"/>
            <w:szCs w:val="17"/>
            <w:u w:val="single"/>
            <w:lang w:eastAsia="fr-FR"/>
          </w:rPr>
          <w:t>juridique@capeb-auvergnerhonealpes.fr</w:t>
        </w:r>
      </w:hyperlink>
      <w:bookmarkEnd w:id="0"/>
    </w:p>
    <w:sectPr w:rsidR="00CD41D4" w:rsidSect="00A14BDD">
      <w:headerReference w:type="default" r:id="rId21"/>
      <w:footerReference w:type="default" r:id="rId22"/>
      <w:pgSz w:w="11906" w:h="16838"/>
      <w:pgMar w:top="720" w:right="720" w:bottom="720"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70B31" w14:textId="77777777" w:rsidR="00CD4D7B" w:rsidRDefault="00CD4D7B">
      <w:pPr>
        <w:spacing w:after="0" w:line="240" w:lineRule="auto"/>
      </w:pPr>
      <w:r>
        <w:separator/>
      </w:r>
    </w:p>
  </w:endnote>
  <w:endnote w:type="continuationSeparator" w:id="0">
    <w:p w14:paraId="4E058250" w14:textId="77777777" w:rsidR="00CD4D7B" w:rsidRDefault="00CD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3766" w14:textId="77777777" w:rsidR="00A14BDD" w:rsidRDefault="00A14BDD" w:rsidP="00307D9E">
    <w:pPr>
      <w:shd w:val="clear" w:color="auto" w:fill="auto"/>
      <w:spacing w:after="0" w:line="240" w:lineRule="auto"/>
      <w:jc w:val="center"/>
      <w:textAlignment w:val="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7D70" w14:textId="77777777" w:rsidR="00CD4D7B" w:rsidRDefault="00CD4D7B">
      <w:pPr>
        <w:spacing w:after="0" w:line="240" w:lineRule="auto"/>
      </w:pPr>
      <w:r>
        <w:separator/>
      </w:r>
    </w:p>
  </w:footnote>
  <w:footnote w:type="continuationSeparator" w:id="0">
    <w:p w14:paraId="434A373A" w14:textId="77777777" w:rsidR="00CD4D7B" w:rsidRDefault="00CD4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8D71" w14:textId="627D084D" w:rsidR="00A14BDD" w:rsidRDefault="00D67ED6" w:rsidP="00467523">
    <w:pPr>
      <w:shd w:val="clear" w:color="auto" w:fill="auto"/>
      <w:tabs>
        <w:tab w:val="center" w:pos="4320"/>
        <w:tab w:val="right" w:pos="8640"/>
      </w:tabs>
      <w:spacing w:after="0" w:line="240" w:lineRule="auto"/>
      <w:jc w:val="left"/>
      <w:textAlignment w:val="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14:ligatures w14:val="standardContextual"/>
      </w:rPr>
      <w:drawing>
        <wp:inline distT="0" distB="0" distL="0" distR="0" wp14:anchorId="71B45E3E" wp14:editId="00E7F4E5">
          <wp:extent cx="1917102" cy="1162050"/>
          <wp:effectExtent l="0" t="0" r="6985" b="0"/>
          <wp:docPr id="3401534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53440" name="Image 340153440"/>
                  <pic:cNvPicPr/>
                </pic:nvPicPr>
                <pic:blipFill>
                  <a:blip r:embed="rId1">
                    <a:extLst>
                      <a:ext uri="{28A0092B-C50C-407E-A947-70E740481C1C}">
                        <a14:useLocalDpi xmlns:a14="http://schemas.microsoft.com/office/drawing/2010/main" val="0"/>
                      </a:ext>
                    </a:extLst>
                  </a:blip>
                  <a:stretch>
                    <a:fillRect/>
                  </a:stretch>
                </pic:blipFill>
                <pic:spPr>
                  <a:xfrm>
                    <a:off x="0" y="0"/>
                    <a:ext cx="1920291" cy="1163983"/>
                  </a:xfrm>
                  <a:prstGeom prst="rect">
                    <a:avLst/>
                  </a:prstGeom>
                </pic:spPr>
              </pic:pic>
            </a:graphicData>
          </a:graphic>
        </wp:inline>
      </w:drawing>
    </w:r>
  </w:p>
  <w:p w14:paraId="20F52E53" w14:textId="77777777" w:rsidR="00A14BDD" w:rsidRPr="007625FA" w:rsidRDefault="00A14BDD" w:rsidP="007625FA">
    <w:pPr>
      <w:shd w:val="clear" w:color="auto" w:fill="auto"/>
      <w:tabs>
        <w:tab w:val="center" w:pos="4320"/>
        <w:tab w:val="right" w:pos="8640"/>
      </w:tabs>
      <w:spacing w:after="0" w:line="240" w:lineRule="auto"/>
      <w:jc w:val="left"/>
      <w:textAlignment w:val="auto"/>
      <w:rPr>
        <w:rFonts w:ascii="Times New Roman" w:eastAsia="Times New Roman" w:hAnsi="Times New Roman" w:cs="Times New Roman"/>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689A"/>
    <w:multiLevelType w:val="hybridMultilevel"/>
    <w:tmpl w:val="F698E584"/>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0721CDE"/>
    <w:multiLevelType w:val="hybridMultilevel"/>
    <w:tmpl w:val="5282D372"/>
    <w:lvl w:ilvl="0" w:tplc="EB34F004">
      <w:start w:val="6"/>
      <w:numFmt w:val="bullet"/>
      <w:lvlText w:val=""/>
      <w:lvlJc w:val="left"/>
      <w:pPr>
        <w:ind w:left="760" w:hanging="400"/>
      </w:pPr>
      <w:rPr>
        <w:rFonts w:ascii="Wingdings" w:eastAsiaTheme="minorHAnsi" w:hAnsi="Wingdings" w:cs="Tahoma" w:hint="default"/>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6513B3"/>
    <w:multiLevelType w:val="multilevel"/>
    <w:tmpl w:val="ED7E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F5027"/>
    <w:multiLevelType w:val="hybridMultilevel"/>
    <w:tmpl w:val="53F8B53E"/>
    <w:lvl w:ilvl="0" w:tplc="7904269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7D11FA"/>
    <w:multiLevelType w:val="multilevel"/>
    <w:tmpl w:val="9DF4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A1DBB"/>
    <w:multiLevelType w:val="hybridMultilevel"/>
    <w:tmpl w:val="E97CB8EC"/>
    <w:lvl w:ilvl="0" w:tplc="BB22949E">
      <w:start w:val="1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BA532E"/>
    <w:multiLevelType w:val="multilevel"/>
    <w:tmpl w:val="B8124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C94EE3"/>
    <w:multiLevelType w:val="multilevel"/>
    <w:tmpl w:val="2B0C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E6D40"/>
    <w:multiLevelType w:val="hybridMultilevel"/>
    <w:tmpl w:val="B6E4EAE2"/>
    <w:lvl w:ilvl="0" w:tplc="417828C8">
      <w:start w:val="1"/>
      <w:numFmt w:val="bullet"/>
      <w:lvlText w:val=""/>
      <w:lvlJc w:val="left"/>
      <w:pPr>
        <w:ind w:left="720" w:hanging="360"/>
      </w:pPr>
      <w:rPr>
        <w:rFonts w:ascii="Wingdings" w:hAnsi="Wingdings" w:hint="default"/>
        <w:color w:val="FF000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34749D"/>
    <w:multiLevelType w:val="hybridMultilevel"/>
    <w:tmpl w:val="8F52B7BA"/>
    <w:lvl w:ilvl="0" w:tplc="CCD23E90">
      <w:numFmt w:val="bullet"/>
      <w:lvlText w:val="-"/>
      <w:lvlJc w:val="left"/>
      <w:pPr>
        <w:ind w:left="720" w:hanging="360"/>
      </w:pPr>
      <w:rPr>
        <w:rFonts w:ascii="Trebuchet MS" w:eastAsiaTheme="minorHAnsi" w:hAnsi="Trebuchet M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252E82"/>
    <w:multiLevelType w:val="hybridMultilevel"/>
    <w:tmpl w:val="21121B8E"/>
    <w:lvl w:ilvl="0" w:tplc="39CCD23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5A74EF"/>
    <w:multiLevelType w:val="multilevel"/>
    <w:tmpl w:val="B16C19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464D86"/>
    <w:multiLevelType w:val="hybridMultilevel"/>
    <w:tmpl w:val="DE1C6564"/>
    <w:lvl w:ilvl="0" w:tplc="929E4F26">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207E40"/>
    <w:multiLevelType w:val="hybridMultilevel"/>
    <w:tmpl w:val="CDE8BA34"/>
    <w:lvl w:ilvl="0" w:tplc="7904269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24362D"/>
    <w:multiLevelType w:val="multilevel"/>
    <w:tmpl w:val="13A2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D4D3B"/>
    <w:multiLevelType w:val="hybridMultilevel"/>
    <w:tmpl w:val="6A28DB6E"/>
    <w:lvl w:ilvl="0" w:tplc="7E6A41E6">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1245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8882508"/>
    <w:multiLevelType w:val="multilevel"/>
    <w:tmpl w:val="AD2A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3B4AC3"/>
    <w:multiLevelType w:val="hybridMultilevel"/>
    <w:tmpl w:val="7DF6D47E"/>
    <w:lvl w:ilvl="0" w:tplc="5C467A7C">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A93D39"/>
    <w:multiLevelType w:val="multilevel"/>
    <w:tmpl w:val="C54E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110F11"/>
    <w:multiLevelType w:val="hybridMultilevel"/>
    <w:tmpl w:val="6F5EDD64"/>
    <w:lvl w:ilvl="0" w:tplc="7904269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7A5007"/>
    <w:multiLevelType w:val="multilevel"/>
    <w:tmpl w:val="BDAA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5C1543"/>
    <w:multiLevelType w:val="hybridMultilevel"/>
    <w:tmpl w:val="49F49A72"/>
    <w:lvl w:ilvl="0" w:tplc="6122F018">
      <w:numFmt w:val="bullet"/>
      <w:lvlText w:val="-"/>
      <w:lvlJc w:val="left"/>
      <w:pPr>
        <w:ind w:left="720" w:hanging="360"/>
      </w:pPr>
      <w:rPr>
        <w:rFonts w:ascii="Tahoma" w:eastAsiaTheme="minorHAnsi" w:hAnsi="Tahoma" w:cs="Tahom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8348749">
    <w:abstractNumId w:val="8"/>
  </w:num>
  <w:num w:numId="2" w16cid:durableId="2006008252">
    <w:abstractNumId w:val="18"/>
  </w:num>
  <w:num w:numId="3" w16cid:durableId="1189174391">
    <w:abstractNumId w:val="0"/>
  </w:num>
  <w:num w:numId="4" w16cid:durableId="224295856">
    <w:abstractNumId w:val="5"/>
  </w:num>
  <w:num w:numId="5" w16cid:durableId="1144275779">
    <w:abstractNumId w:val="22"/>
  </w:num>
  <w:num w:numId="6" w16cid:durableId="1542935064">
    <w:abstractNumId w:val="13"/>
  </w:num>
  <w:num w:numId="7" w16cid:durableId="1973705422">
    <w:abstractNumId w:val="11"/>
  </w:num>
  <w:num w:numId="8" w16cid:durableId="302778033">
    <w:abstractNumId w:val="6"/>
  </w:num>
  <w:num w:numId="9" w16cid:durableId="459692578">
    <w:abstractNumId w:val="16"/>
  </w:num>
  <w:num w:numId="10" w16cid:durableId="925112942">
    <w:abstractNumId w:val="3"/>
  </w:num>
  <w:num w:numId="11" w16cid:durableId="1851720686">
    <w:abstractNumId w:val="20"/>
  </w:num>
  <w:num w:numId="12" w16cid:durableId="853883474">
    <w:abstractNumId w:val="10"/>
  </w:num>
  <w:num w:numId="13" w16cid:durableId="1435856054">
    <w:abstractNumId w:val="19"/>
  </w:num>
  <w:num w:numId="14" w16cid:durableId="1340695347">
    <w:abstractNumId w:val="4"/>
  </w:num>
  <w:num w:numId="15" w16cid:durableId="1793329058">
    <w:abstractNumId w:val="1"/>
  </w:num>
  <w:num w:numId="16" w16cid:durableId="2059744626">
    <w:abstractNumId w:val="21"/>
  </w:num>
  <w:num w:numId="17" w16cid:durableId="379331067">
    <w:abstractNumId w:val="2"/>
  </w:num>
  <w:num w:numId="18" w16cid:durableId="275911893">
    <w:abstractNumId w:val="9"/>
  </w:num>
  <w:num w:numId="19" w16cid:durableId="1749032910">
    <w:abstractNumId w:val="12"/>
  </w:num>
  <w:num w:numId="20" w16cid:durableId="1563061066">
    <w:abstractNumId w:val="17"/>
  </w:num>
  <w:num w:numId="21" w16cid:durableId="1705447943">
    <w:abstractNumId w:val="15"/>
  </w:num>
  <w:num w:numId="22" w16cid:durableId="1310212584">
    <w:abstractNumId w:val="14"/>
  </w:num>
  <w:num w:numId="23" w16cid:durableId="17800247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DD"/>
    <w:rsid w:val="000045DC"/>
    <w:rsid w:val="00022308"/>
    <w:rsid w:val="00035FEE"/>
    <w:rsid w:val="000374BC"/>
    <w:rsid w:val="00043BB0"/>
    <w:rsid w:val="00050E47"/>
    <w:rsid w:val="00093DF8"/>
    <w:rsid w:val="000A6710"/>
    <w:rsid w:val="000B79AE"/>
    <w:rsid w:val="000D361A"/>
    <w:rsid w:val="000D501F"/>
    <w:rsid w:val="000D5B82"/>
    <w:rsid w:val="000F336D"/>
    <w:rsid w:val="000F4D69"/>
    <w:rsid w:val="000F55C0"/>
    <w:rsid w:val="00115901"/>
    <w:rsid w:val="001217BF"/>
    <w:rsid w:val="001221B6"/>
    <w:rsid w:val="0014060E"/>
    <w:rsid w:val="00144273"/>
    <w:rsid w:val="001453D3"/>
    <w:rsid w:val="00145C78"/>
    <w:rsid w:val="00172A5D"/>
    <w:rsid w:val="00172BAA"/>
    <w:rsid w:val="001806ED"/>
    <w:rsid w:val="001A026E"/>
    <w:rsid w:val="001B4BBE"/>
    <w:rsid w:val="001E1226"/>
    <w:rsid w:val="00227C99"/>
    <w:rsid w:val="00234F8C"/>
    <w:rsid w:val="00241708"/>
    <w:rsid w:val="00262419"/>
    <w:rsid w:val="00263D48"/>
    <w:rsid w:val="00265B79"/>
    <w:rsid w:val="00273E78"/>
    <w:rsid w:val="00290AC0"/>
    <w:rsid w:val="002D53CF"/>
    <w:rsid w:val="002E76DF"/>
    <w:rsid w:val="002F6D72"/>
    <w:rsid w:val="00303905"/>
    <w:rsid w:val="00314796"/>
    <w:rsid w:val="00330FB0"/>
    <w:rsid w:val="003412FC"/>
    <w:rsid w:val="0034415D"/>
    <w:rsid w:val="0035193F"/>
    <w:rsid w:val="00380BB8"/>
    <w:rsid w:val="003A130C"/>
    <w:rsid w:val="003D0B29"/>
    <w:rsid w:val="003D577C"/>
    <w:rsid w:val="003F0053"/>
    <w:rsid w:val="0042068E"/>
    <w:rsid w:val="00426481"/>
    <w:rsid w:val="00445AAC"/>
    <w:rsid w:val="004520E4"/>
    <w:rsid w:val="0046304B"/>
    <w:rsid w:val="004820E7"/>
    <w:rsid w:val="00491EF3"/>
    <w:rsid w:val="004B2F3C"/>
    <w:rsid w:val="004E7D2B"/>
    <w:rsid w:val="00510085"/>
    <w:rsid w:val="005167E1"/>
    <w:rsid w:val="00526C62"/>
    <w:rsid w:val="00536781"/>
    <w:rsid w:val="00552082"/>
    <w:rsid w:val="00566E18"/>
    <w:rsid w:val="00573AE8"/>
    <w:rsid w:val="00583149"/>
    <w:rsid w:val="00591979"/>
    <w:rsid w:val="005A4E82"/>
    <w:rsid w:val="005A6778"/>
    <w:rsid w:val="005B244E"/>
    <w:rsid w:val="005C0FD4"/>
    <w:rsid w:val="005C1595"/>
    <w:rsid w:val="005E4F4B"/>
    <w:rsid w:val="005F4AFD"/>
    <w:rsid w:val="00611A0D"/>
    <w:rsid w:val="00615A9F"/>
    <w:rsid w:val="006320E1"/>
    <w:rsid w:val="00650F46"/>
    <w:rsid w:val="0066276E"/>
    <w:rsid w:val="00665BE1"/>
    <w:rsid w:val="00673BF7"/>
    <w:rsid w:val="00685ACB"/>
    <w:rsid w:val="006B7EB3"/>
    <w:rsid w:val="006C4E5F"/>
    <w:rsid w:val="006D2E4E"/>
    <w:rsid w:val="006E2713"/>
    <w:rsid w:val="006F405E"/>
    <w:rsid w:val="007019A5"/>
    <w:rsid w:val="00703494"/>
    <w:rsid w:val="00725219"/>
    <w:rsid w:val="0072578A"/>
    <w:rsid w:val="0075376A"/>
    <w:rsid w:val="00756217"/>
    <w:rsid w:val="007723EA"/>
    <w:rsid w:val="00772C8D"/>
    <w:rsid w:val="00781460"/>
    <w:rsid w:val="00791743"/>
    <w:rsid w:val="007A5E8D"/>
    <w:rsid w:val="007B2C34"/>
    <w:rsid w:val="007C018A"/>
    <w:rsid w:val="007C2F83"/>
    <w:rsid w:val="007F0530"/>
    <w:rsid w:val="00801338"/>
    <w:rsid w:val="00802B3A"/>
    <w:rsid w:val="0081348C"/>
    <w:rsid w:val="00823A00"/>
    <w:rsid w:val="00826C44"/>
    <w:rsid w:val="008276AE"/>
    <w:rsid w:val="00836752"/>
    <w:rsid w:val="00844E05"/>
    <w:rsid w:val="008534AF"/>
    <w:rsid w:val="00871A60"/>
    <w:rsid w:val="00893FEC"/>
    <w:rsid w:val="008A0AAC"/>
    <w:rsid w:val="008B6079"/>
    <w:rsid w:val="008D1096"/>
    <w:rsid w:val="008D292D"/>
    <w:rsid w:val="008E3B7A"/>
    <w:rsid w:val="008F2E7E"/>
    <w:rsid w:val="008F46CC"/>
    <w:rsid w:val="00905088"/>
    <w:rsid w:val="00905475"/>
    <w:rsid w:val="00915B07"/>
    <w:rsid w:val="00921157"/>
    <w:rsid w:val="00931626"/>
    <w:rsid w:val="00937A7D"/>
    <w:rsid w:val="009444D2"/>
    <w:rsid w:val="00980ADE"/>
    <w:rsid w:val="009D6501"/>
    <w:rsid w:val="009D67FC"/>
    <w:rsid w:val="009E5213"/>
    <w:rsid w:val="009E57B3"/>
    <w:rsid w:val="009F1E82"/>
    <w:rsid w:val="00A14BDD"/>
    <w:rsid w:val="00A26046"/>
    <w:rsid w:val="00A345F1"/>
    <w:rsid w:val="00A45D71"/>
    <w:rsid w:val="00A544BB"/>
    <w:rsid w:val="00A577E6"/>
    <w:rsid w:val="00A65320"/>
    <w:rsid w:val="00A673CF"/>
    <w:rsid w:val="00A75395"/>
    <w:rsid w:val="00A97E95"/>
    <w:rsid w:val="00AB16D5"/>
    <w:rsid w:val="00AB2F83"/>
    <w:rsid w:val="00AB7169"/>
    <w:rsid w:val="00AE5B10"/>
    <w:rsid w:val="00AF2B08"/>
    <w:rsid w:val="00B014D3"/>
    <w:rsid w:val="00B145B5"/>
    <w:rsid w:val="00B1582B"/>
    <w:rsid w:val="00B207B2"/>
    <w:rsid w:val="00B67D9D"/>
    <w:rsid w:val="00B9631F"/>
    <w:rsid w:val="00BB0432"/>
    <w:rsid w:val="00BC7930"/>
    <w:rsid w:val="00BF138A"/>
    <w:rsid w:val="00C03184"/>
    <w:rsid w:val="00C11927"/>
    <w:rsid w:val="00C30407"/>
    <w:rsid w:val="00C3632B"/>
    <w:rsid w:val="00C47724"/>
    <w:rsid w:val="00C47FF0"/>
    <w:rsid w:val="00C576C5"/>
    <w:rsid w:val="00C6382A"/>
    <w:rsid w:val="00C77C09"/>
    <w:rsid w:val="00C8105A"/>
    <w:rsid w:val="00C864E0"/>
    <w:rsid w:val="00C92FFC"/>
    <w:rsid w:val="00CB5683"/>
    <w:rsid w:val="00CD3671"/>
    <w:rsid w:val="00CD4055"/>
    <w:rsid w:val="00CD41D4"/>
    <w:rsid w:val="00CD4D7B"/>
    <w:rsid w:val="00CE2915"/>
    <w:rsid w:val="00CF0641"/>
    <w:rsid w:val="00D63F46"/>
    <w:rsid w:val="00D67ED6"/>
    <w:rsid w:val="00D87C79"/>
    <w:rsid w:val="00D95428"/>
    <w:rsid w:val="00DA00F9"/>
    <w:rsid w:val="00DB4733"/>
    <w:rsid w:val="00DB538E"/>
    <w:rsid w:val="00DC52B3"/>
    <w:rsid w:val="00DD41DB"/>
    <w:rsid w:val="00DF67A1"/>
    <w:rsid w:val="00E0780A"/>
    <w:rsid w:val="00E16814"/>
    <w:rsid w:val="00E220A5"/>
    <w:rsid w:val="00E30A3B"/>
    <w:rsid w:val="00E327F0"/>
    <w:rsid w:val="00E33F49"/>
    <w:rsid w:val="00E41B44"/>
    <w:rsid w:val="00E46867"/>
    <w:rsid w:val="00E472C1"/>
    <w:rsid w:val="00E51C54"/>
    <w:rsid w:val="00E537AB"/>
    <w:rsid w:val="00E55F00"/>
    <w:rsid w:val="00E623EC"/>
    <w:rsid w:val="00E72CCE"/>
    <w:rsid w:val="00E80709"/>
    <w:rsid w:val="00E85328"/>
    <w:rsid w:val="00EA463F"/>
    <w:rsid w:val="00EA5468"/>
    <w:rsid w:val="00EB128F"/>
    <w:rsid w:val="00EB4D52"/>
    <w:rsid w:val="00EC384A"/>
    <w:rsid w:val="00EF0810"/>
    <w:rsid w:val="00EF6CE2"/>
    <w:rsid w:val="00F14EBC"/>
    <w:rsid w:val="00F153CE"/>
    <w:rsid w:val="00F17331"/>
    <w:rsid w:val="00F40EDA"/>
    <w:rsid w:val="00F46D90"/>
    <w:rsid w:val="00F71C8E"/>
    <w:rsid w:val="00F95803"/>
    <w:rsid w:val="00FA0658"/>
    <w:rsid w:val="00FC08AD"/>
    <w:rsid w:val="00FC09D2"/>
    <w:rsid w:val="00FC4B05"/>
    <w:rsid w:val="00FC7388"/>
    <w:rsid w:val="00FD4390"/>
    <w:rsid w:val="00FD55C0"/>
    <w:rsid w:val="00FF15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9C550"/>
  <w15:chartTrackingRefBased/>
  <w15:docId w15:val="{0C4E8B0A-C7E2-4F55-9D3E-2F92D04B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BDD"/>
    <w:pPr>
      <w:shd w:val="clear" w:color="auto" w:fill="FFFFFF"/>
      <w:spacing w:line="276" w:lineRule="auto"/>
      <w:jc w:val="both"/>
      <w:textAlignment w:val="baseline"/>
    </w:pPr>
    <w:rPr>
      <w:rFonts w:ascii="Tahoma" w:hAnsi="Tahoma" w:cs="Tahoma"/>
      <w:kern w:val="0"/>
      <w14:ligatures w14:val="none"/>
    </w:rPr>
  </w:style>
  <w:style w:type="paragraph" w:styleId="Titre1">
    <w:name w:val="heading 1"/>
    <w:basedOn w:val="Normal"/>
    <w:next w:val="Normal"/>
    <w:link w:val="Titre1Car"/>
    <w:uiPriority w:val="9"/>
    <w:qFormat/>
    <w:rsid w:val="00A14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14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14B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14B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14B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14BD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14BD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14BD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14BD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4B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4B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4B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4B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4B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4B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4B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4B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4BDD"/>
    <w:rPr>
      <w:rFonts w:eastAsiaTheme="majorEastAsia" w:cstheme="majorBidi"/>
      <w:color w:val="272727" w:themeColor="text1" w:themeTint="D8"/>
    </w:rPr>
  </w:style>
  <w:style w:type="paragraph" w:styleId="Titre">
    <w:name w:val="Title"/>
    <w:basedOn w:val="Normal"/>
    <w:next w:val="Normal"/>
    <w:link w:val="TitreCar"/>
    <w:uiPriority w:val="10"/>
    <w:qFormat/>
    <w:rsid w:val="00A14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4B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4BD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14B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4BDD"/>
    <w:pPr>
      <w:spacing w:before="160"/>
      <w:jc w:val="center"/>
    </w:pPr>
    <w:rPr>
      <w:i/>
      <w:iCs/>
      <w:color w:val="404040" w:themeColor="text1" w:themeTint="BF"/>
    </w:rPr>
  </w:style>
  <w:style w:type="character" w:customStyle="1" w:styleId="CitationCar">
    <w:name w:val="Citation Car"/>
    <w:basedOn w:val="Policepardfaut"/>
    <w:link w:val="Citation"/>
    <w:uiPriority w:val="29"/>
    <w:rsid w:val="00A14BDD"/>
    <w:rPr>
      <w:i/>
      <w:iCs/>
      <w:color w:val="404040" w:themeColor="text1" w:themeTint="BF"/>
    </w:rPr>
  </w:style>
  <w:style w:type="paragraph" w:styleId="Paragraphedeliste">
    <w:name w:val="List Paragraph"/>
    <w:basedOn w:val="Normal"/>
    <w:uiPriority w:val="34"/>
    <w:qFormat/>
    <w:rsid w:val="00A14BDD"/>
    <w:pPr>
      <w:ind w:left="720"/>
      <w:contextualSpacing/>
    </w:pPr>
  </w:style>
  <w:style w:type="character" w:styleId="Accentuationintense">
    <w:name w:val="Intense Emphasis"/>
    <w:basedOn w:val="Policepardfaut"/>
    <w:uiPriority w:val="21"/>
    <w:qFormat/>
    <w:rsid w:val="00A14BDD"/>
    <w:rPr>
      <w:i/>
      <w:iCs/>
      <w:color w:val="0F4761" w:themeColor="accent1" w:themeShade="BF"/>
    </w:rPr>
  </w:style>
  <w:style w:type="paragraph" w:styleId="Citationintense">
    <w:name w:val="Intense Quote"/>
    <w:basedOn w:val="Normal"/>
    <w:next w:val="Normal"/>
    <w:link w:val="CitationintenseCar"/>
    <w:uiPriority w:val="30"/>
    <w:qFormat/>
    <w:rsid w:val="00A14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14BDD"/>
    <w:rPr>
      <w:i/>
      <w:iCs/>
      <w:color w:val="0F4761" w:themeColor="accent1" w:themeShade="BF"/>
    </w:rPr>
  </w:style>
  <w:style w:type="character" w:styleId="Rfrenceintense">
    <w:name w:val="Intense Reference"/>
    <w:basedOn w:val="Policepardfaut"/>
    <w:uiPriority w:val="32"/>
    <w:qFormat/>
    <w:rsid w:val="00A14BDD"/>
    <w:rPr>
      <w:b/>
      <w:bCs/>
      <w:smallCaps/>
      <w:color w:val="0F4761" w:themeColor="accent1" w:themeShade="BF"/>
      <w:spacing w:val="5"/>
    </w:rPr>
  </w:style>
  <w:style w:type="paragraph" w:styleId="Sansinterligne">
    <w:name w:val="No Spacing"/>
    <w:uiPriority w:val="1"/>
    <w:qFormat/>
    <w:rsid w:val="00A14BDD"/>
    <w:pPr>
      <w:spacing w:after="0" w:line="240" w:lineRule="auto"/>
    </w:pPr>
    <w:rPr>
      <w:rFonts w:ascii="Trebuchet MS" w:hAnsi="Trebuchet MS"/>
      <w:kern w:val="0"/>
      <w:sz w:val="20"/>
      <w14:ligatures w14:val="none"/>
    </w:rPr>
  </w:style>
  <w:style w:type="paragraph" w:styleId="Corpsdetexte">
    <w:name w:val="Body Text"/>
    <w:basedOn w:val="Normal"/>
    <w:link w:val="CorpsdetexteCar"/>
    <w:uiPriority w:val="1"/>
    <w:qFormat/>
    <w:rsid w:val="00A14BDD"/>
    <w:pPr>
      <w:widowControl w:val="0"/>
      <w:shd w:val="clear" w:color="auto" w:fill="auto"/>
      <w:autoSpaceDE w:val="0"/>
      <w:autoSpaceDN w:val="0"/>
      <w:spacing w:after="0" w:line="240" w:lineRule="auto"/>
      <w:jc w:val="left"/>
      <w:textAlignment w:val="auto"/>
    </w:pPr>
    <w:rPr>
      <w:rFonts w:eastAsia="Tahoma"/>
    </w:rPr>
  </w:style>
  <w:style w:type="character" w:customStyle="1" w:styleId="CorpsdetexteCar">
    <w:name w:val="Corps de texte Car"/>
    <w:basedOn w:val="Policepardfaut"/>
    <w:link w:val="Corpsdetexte"/>
    <w:uiPriority w:val="1"/>
    <w:rsid w:val="00A14BDD"/>
    <w:rPr>
      <w:rFonts w:ascii="Tahoma" w:eastAsia="Tahoma" w:hAnsi="Tahoma" w:cs="Tahoma"/>
      <w:kern w:val="0"/>
      <w14:ligatures w14:val="none"/>
    </w:rPr>
  </w:style>
  <w:style w:type="character" w:styleId="Lienhypertexte">
    <w:name w:val="Hyperlink"/>
    <w:basedOn w:val="Policepardfaut"/>
    <w:uiPriority w:val="99"/>
    <w:unhideWhenUsed/>
    <w:rsid w:val="00615A9F"/>
    <w:rPr>
      <w:color w:val="467886" w:themeColor="hyperlink"/>
      <w:u w:val="single"/>
    </w:rPr>
  </w:style>
  <w:style w:type="character" w:styleId="Mentionnonrsolue">
    <w:name w:val="Unresolved Mention"/>
    <w:basedOn w:val="Policepardfaut"/>
    <w:uiPriority w:val="99"/>
    <w:semiHidden/>
    <w:unhideWhenUsed/>
    <w:rsid w:val="00615A9F"/>
    <w:rPr>
      <w:color w:val="605E5C"/>
      <w:shd w:val="clear" w:color="auto" w:fill="E1DFDD"/>
    </w:rPr>
  </w:style>
  <w:style w:type="paragraph" w:styleId="Rvision">
    <w:name w:val="Revision"/>
    <w:hidden/>
    <w:uiPriority w:val="99"/>
    <w:semiHidden/>
    <w:rsid w:val="00D87C79"/>
    <w:pPr>
      <w:spacing w:after="0" w:line="240" w:lineRule="auto"/>
    </w:pPr>
    <w:rPr>
      <w:rFonts w:ascii="Tahoma" w:hAnsi="Tahoma" w:cs="Tahoma"/>
      <w:kern w:val="0"/>
      <w14:ligatures w14:val="none"/>
    </w:rPr>
  </w:style>
  <w:style w:type="paragraph" w:styleId="En-tte">
    <w:name w:val="header"/>
    <w:basedOn w:val="Normal"/>
    <w:link w:val="En-tteCar"/>
    <w:uiPriority w:val="99"/>
    <w:unhideWhenUsed/>
    <w:rsid w:val="00526C62"/>
    <w:pPr>
      <w:tabs>
        <w:tab w:val="center" w:pos="4536"/>
        <w:tab w:val="right" w:pos="9072"/>
      </w:tabs>
      <w:spacing w:after="0" w:line="240" w:lineRule="auto"/>
    </w:pPr>
  </w:style>
  <w:style w:type="character" w:customStyle="1" w:styleId="En-tteCar">
    <w:name w:val="En-tête Car"/>
    <w:basedOn w:val="Policepardfaut"/>
    <w:link w:val="En-tte"/>
    <w:uiPriority w:val="99"/>
    <w:rsid w:val="00526C62"/>
    <w:rPr>
      <w:rFonts w:ascii="Tahoma" w:hAnsi="Tahoma" w:cs="Tahoma"/>
      <w:kern w:val="0"/>
      <w:shd w:val="clear" w:color="auto" w:fill="FFFFFF"/>
      <w14:ligatures w14:val="none"/>
    </w:rPr>
  </w:style>
  <w:style w:type="paragraph" w:styleId="Pieddepage">
    <w:name w:val="footer"/>
    <w:basedOn w:val="Normal"/>
    <w:link w:val="PieddepageCar"/>
    <w:uiPriority w:val="99"/>
    <w:unhideWhenUsed/>
    <w:rsid w:val="00526C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26C62"/>
    <w:rPr>
      <w:rFonts w:ascii="Tahoma" w:hAnsi="Tahoma" w:cs="Tahoma"/>
      <w:kern w:val="0"/>
      <w:shd w:val="clear" w:color="auto" w:fill="FFFFFF"/>
      <w14:ligatures w14:val="none"/>
    </w:rPr>
  </w:style>
  <w:style w:type="paragraph" w:styleId="NormalWeb">
    <w:name w:val="Normal (Web)"/>
    <w:basedOn w:val="Normal"/>
    <w:uiPriority w:val="99"/>
    <w:semiHidden/>
    <w:unhideWhenUsed/>
    <w:rsid w:val="00611A0D"/>
    <w:pPr>
      <w:shd w:val="clear" w:color="auto" w:fill="auto"/>
      <w:spacing w:after="0" w:line="240" w:lineRule="auto"/>
      <w:jc w:val="left"/>
      <w:textAlignment w:val="auto"/>
    </w:pPr>
    <w:rPr>
      <w:rFonts w:ascii="Aptos" w:hAnsi="Aptos" w:cs="Apto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france.gouv.fr/jorf/id/JORFTEXT000055002925"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egifrance.gouv.fr/jorf/id/JORFTEXT000055002911" TargetMode="External"/><Relationship Id="rId17" Type="http://schemas.openxmlformats.org/officeDocument/2006/relationships/hyperlink" Target="https://www.legifrance.gouv.fr/download/file/BgqW2EOkTmgH7p5w9TR3_Lj1eH6w-xJoB6-2bmLS9gg=/JOE_TEXTE" TargetMode="External"/><Relationship Id="rId2" Type="http://schemas.openxmlformats.org/officeDocument/2006/relationships/customXml" Target="../customXml/item2.xml"/><Relationship Id="rId16" Type="http://schemas.openxmlformats.org/officeDocument/2006/relationships/hyperlink" Target="https://boss.gouv.fr/portail/accueil/autres-elements-de-remuneration/frais-professionnels.html" TargetMode="External"/><Relationship Id="rId20" Type="http://schemas.openxmlformats.org/officeDocument/2006/relationships/hyperlink" Target="mailto:juridique@capeb-auvergnerhonealpes.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france.gouv.fr/codes/article_lc/LEGIARTI000041865029"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Microsoft_Word_97_-_2003_Document.doc"/><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ss.gouv.fr/portail/accueil/actualites-boss-et-rescrits/actualites-boss/2026/aout/evolution-du-traitement-social-d.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47c621-f11b-48ee-b077-ceb9ae83a3f0">
      <Terms xmlns="http://schemas.microsoft.com/office/infopath/2007/PartnerControls"/>
    </lcf76f155ced4ddcb4097134ff3c332f>
    <TaxCatchAll xmlns="bc0d2230-81a2-4984-83ed-8a91e719c2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DCE2EB45A6AB43A0572500D3D7E609" ma:contentTypeVersion="13" ma:contentTypeDescription="Crée un document." ma:contentTypeScope="" ma:versionID="0792644b4bd96c43f74782268bc2452c">
  <xsd:schema xmlns:xsd="http://www.w3.org/2001/XMLSchema" xmlns:xs="http://www.w3.org/2001/XMLSchema" xmlns:p="http://schemas.microsoft.com/office/2006/metadata/properties" xmlns:ns2="3e47c621-f11b-48ee-b077-ceb9ae83a3f0" xmlns:ns3="bc0d2230-81a2-4984-83ed-8a91e719c2e8" targetNamespace="http://schemas.microsoft.com/office/2006/metadata/properties" ma:root="true" ma:fieldsID="b4658e104373b1c5e6af90def0fc9694" ns2:_="" ns3:_="">
    <xsd:import namespace="3e47c621-f11b-48ee-b077-ceb9ae83a3f0"/>
    <xsd:import namespace="bc0d2230-81a2-4984-83ed-8a91e719c2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7c621-f11b-48ee-b077-ceb9ae83a3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bdd3cc5d-1d19-4f5d-b0b7-c7886fa37bc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0d2230-81a2-4984-83ed-8a91e719c2e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751b4b-f5db-4bda-afba-a18ce020d5b6}" ma:internalName="TaxCatchAll" ma:showField="CatchAllData" ma:web="bc0d2230-81a2-4984-83ed-8a91e719c2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BECD0-844C-4D5A-8099-B1E75A6ED796}">
  <ds:schemaRefs>
    <ds:schemaRef ds:uri="http://schemas.microsoft.com/office/2006/metadata/properties"/>
    <ds:schemaRef ds:uri="http://schemas.microsoft.com/office/infopath/2007/PartnerControls"/>
    <ds:schemaRef ds:uri="3e47c621-f11b-48ee-b077-ceb9ae83a3f0"/>
    <ds:schemaRef ds:uri="bc0d2230-81a2-4984-83ed-8a91e719c2e8"/>
  </ds:schemaRefs>
</ds:datastoreItem>
</file>

<file path=customXml/itemProps2.xml><?xml version="1.0" encoding="utf-8"?>
<ds:datastoreItem xmlns:ds="http://schemas.openxmlformats.org/officeDocument/2006/customXml" ds:itemID="{C918FDCC-F1FE-4328-BC4E-AD73EA37203C}">
  <ds:schemaRefs>
    <ds:schemaRef ds:uri="http://schemas.microsoft.com/sharepoint/v3/contenttype/forms"/>
  </ds:schemaRefs>
</ds:datastoreItem>
</file>

<file path=customXml/itemProps3.xml><?xml version="1.0" encoding="utf-8"?>
<ds:datastoreItem xmlns:ds="http://schemas.openxmlformats.org/officeDocument/2006/customXml" ds:itemID="{199C2B9D-27D9-4882-A879-915717671BCE}">
  <ds:schemaRefs>
    <ds:schemaRef ds:uri="http://schemas.openxmlformats.org/officeDocument/2006/bibliography"/>
  </ds:schemaRefs>
</ds:datastoreItem>
</file>

<file path=customXml/itemProps4.xml><?xml version="1.0" encoding="utf-8"?>
<ds:datastoreItem xmlns:ds="http://schemas.openxmlformats.org/officeDocument/2006/customXml" ds:itemID="{925A0C43-8210-4083-A2D0-1509F36D3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7c621-f11b-48ee-b077-ceb9ae83a3f0"/>
    <ds:schemaRef ds:uri="bc0d2230-81a2-4984-83ed-8a91e719c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1852</Words>
  <Characters>10188</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MAFFUCCI Alexandra</dc:creator>
  <cp:keywords/>
  <dc:description/>
  <cp:lastModifiedBy>MAFFUCCI Alexandra</cp:lastModifiedBy>
  <cp:revision>2</cp:revision>
  <dcterms:created xsi:type="dcterms:W3CDTF">2026-10-29T10:06:00Z</dcterms:created>
  <dcterms:modified xsi:type="dcterms:W3CDTF">2026-10-29T10:06:00Z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0x010100FCDCE2EB45A6AB43A0572500D3D7E609</vt:lpwstr>
  </property>
  <property fmtid="{D5CDD505-2E9C-101B-9397-08002B2CF9AE}" pid="3" name="MediaServiceImageTags">
    <vt:lpwstr/>
  </property>
</Properties>
</file>