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EAE" w:rsidRDefault="00812EAE" w:rsidP="00812EAE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  <w:r>
        <w:rPr>
          <w:rFonts w:ascii="Calibri-Italic" w:hAnsi="Calibri-Italic" w:cs="Calibri-Italic"/>
          <w:i/>
          <w:iCs/>
          <w:sz w:val="24"/>
          <w:szCs w:val="24"/>
        </w:rPr>
        <w:t>BMI group</w:t>
      </w:r>
    </w:p>
    <w:p w:rsidR="00EF6451" w:rsidRDefault="00BB6121" w:rsidP="00BB612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  <w:r>
        <w:rPr>
          <w:rFonts w:ascii="Calibri-Italic" w:hAnsi="Calibri-Italic" w:cs="Calibri-Italic"/>
          <w:i/>
          <w:iCs/>
          <w:sz w:val="24"/>
          <w:szCs w:val="24"/>
        </w:rPr>
        <w:t>2024</w:t>
      </w:r>
    </w:p>
    <w:p w:rsidR="00BB6121" w:rsidRDefault="00BB6121" w:rsidP="00BB612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</w:p>
    <w:p w:rsidR="00771800" w:rsidRPr="00BB6121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8"/>
          <w:szCs w:val="38"/>
        </w:rPr>
      </w:pPr>
      <w:r w:rsidRPr="00BB6121">
        <w:rPr>
          <w:rFonts w:ascii="Calibri-Bold" w:hAnsi="Calibri-Bold" w:cs="Calibri-Bold"/>
          <w:b/>
          <w:bCs/>
          <w:sz w:val="38"/>
          <w:szCs w:val="38"/>
        </w:rPr>
        <w:t>Formation professionnelle : maintenir ses connaissances sur les toitures dans un</w:t>
      </w:r>
      <w:r w:rsidRPr="00BB6121">
        <w:rPr>
          <w:rFonts w:ascii="Calibri-Bold" w:hAnsi="Calibri-Bold" w:cs="Calibri-Bold"/>
          <w:b/>
          <w:bCs/>
          <w:sz w:val="38"/>
          <w:szCs w:val="38"/>
        </w:rPr>
        <w:t xml:space="preserve"> </w:t>
      </w:r>
      <w:r w:rsidRPr="00BB6121">
        <w:rPr>
          <w:rFonts w:ascii="Calibri-Bold" w:hAnsi="Calibri-Bold" w:cs="Calibri-Bold"/>
          <w:b/>
          <w:bCs/>
          <w:sz w:val="38"/>
          <w:szCs w:val="38"/>
        </w:rPr>
        <w:t>secteur en constante évolution</w:t>
      </w:r>
    </w:p>
    <w:p w:rsidR="00771800" w:rsidRP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  <w:r>
        <w:rPr>
          <w:rFonts w:ascii="Calibri-Italic" w:hAnsi="Calibri-Italic" w:cs="Calibri-Italic"/>
          <w:i/>
          <w:iCs/>
          <w:sz w:val="24"/>
          <w:szCs w:val="24"/>
        </w:rPr>
        <w:t xml:space="preserve">Face à des chantiers de plus en plus complexes, </w:t>
      </w:r>
      <w:r w:rsidRPr="005473DF">
        <w:rPr>
          <w:rFonts w:ascii="Calibri-Italic" w:hAnsi="Calibri-Italic" w:cs="Calibri-Italic"/>
          <w:i/>
          <w:iCs/>
          <w:color w:val="C00000"/>
          <w:sz w:val="24"/>
          <w:szCs w:val="24"/>
        </w:rPr>
        <w:t>la formation devient un élément</w:t>
      </w:r>
      <w:r w:rsidRPr="005473DF">
        <w:rPr>
          <w:rFonts w:ascii="Calibri-Italic" w:hAnsi="Calibri-Italic" w:cs="Calibri-Italic"/>
          <w:i/>
          <w:iCs/>
          <w:color w:val="C00000"/>
          <w:sz w:val="24"/>
          <w:szCs w:val="24"/>
        </w:rPr>
        <w:t xml:space="preserve"> </w:t>
      </w:r>
      <w:r w:rsidRPr="005473DF">
        <w:rPr>
          <w:rFonts w:ascii="Calibri-Italic" w:hAnsi="Calibri-Italic" w:cs="Calibri-Italic"/>
          <w:i/>
          <w:iCs/>
          <w:color w:val="C00000"/>
          <w:sz w:val="24"/>
          <w:szCs w:val="24"/>
        </w:rPr>
        <w:t>incontournable du métier de couvreur</w:t>
      </w:r>
      <w:r>
        <w:rPr>
          <w:rFonts w:ascii="Calibri-Italic" w:hAnsi="Calibri-Italic" w:cs="Calibri-Italic"/>
          <w:i/>
          <w:iCs/>
          <w:sz w:val="24"/>
          <w:szCs w:val="24"/>
        </w:rPr>
        <w:t>. Pour accompagner les professionnels dans cette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 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évolution et les aider à mettre en </w:t>
      </w:r>
      <w:r w:rsidRPr="00771800">
        <w:rPr>
          <w:rFonts w:ascii="Calibri-Italic" w:hAnsi="Calibri-Italic" w:cs="Calibri-Italic"/>
          <w:i/>
          <w:iCs/>
          <w:sz w:val="24"/>
          <w:szCs w:val="24"/>
        </w:rPr>
        <w:t>œuvre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 des toitures qui répondent aux exigences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 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techniques et réglementaires actuelles, la </w:t>
      </w:r>
      <w:r w:rsidRPr="005473DF">
        <w:rPr>
          <w:rFonts w:ascii="Calibri-Italic" w:hAnsi="Calibri-Italic" w:cs="Calibri-Italic"/>
          <w:b/>
          <w:bCs/>
          <w:i/>
          <w:iCs/>
          <w:color w:val="C00000"/>
          <w:sz w:val="24"/>
          <w:szCs w:val="24"/>
        </w:rPr>
        <w:t>BMI Academy</w:t>
      </w:r>
      <w:r w:rsidRPr="005473DF">
        <w:rPr>
          <w:rFonts w:ascii="Calibri-Italic" w:hAnsi="Calibri-Italic" w:cs="Calibri-Italic"/>
          <w:i/>
          <w:iCs/>
          <w:color w:val="C00000"/>
          <w:sz w:val="24"/>
          <w:szCs w:val="24"/>
        </w:rPr>
        <w:t xml:space="preserve"> </w:t>
      </w:r>
      <w:r>
        <w:rPr>
          <w:rFonts w:ascii="Calibri-Italic" w:hAnsi="Calibri-Italic" w:cs="Calibri-Italic"/>
          <w:i/>
          <w:iCs/>
          <w:sz w:val="24"/>
          <w:szCs w:val="24"/>
        </w:rPr>
        <w:t>enrichit continuellement son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 </w:t>
      </w:r>
      <w:r>
        <w:rPr>
          <w:rFonts w:ascii="Calibri-Italic" w:hAnsi="Calibri-Italic" w:cs="Calibri-Italic"/>
          <w:i/>
          <w:iCs/>
          <w:sz w:val="24"/>
          <w:szCs w:val="24"/>
        </w:rPr>
        <w:t>catalogue de formations.</w:t>
      </w: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De nouveaux enjeux pour le métier</w:t>
      </w: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 secteur de la toiture évolue rapidement, encouragé notamment par les nouvelles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réglementations environnementales. En effet, afin de limiter l’impact carbone des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bâtiments tout en favorisant le confort des occupants et en limitant les consommations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d’énergie, l’Union européenne et les gouvernements de chaque pays imposent de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nouvelles règles.</w:t>
      </w: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 cherche ainsi à améliorer considérablement l’isolation des bâtiments et le toit joue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un rôle primordial dans cette démarche. Grande source de déperdition thermique, </w:t>
      </w:r>
      <w:r w:rsidRPr="005473DF">
        <w:rPr>
          <w:rFonts w:ascii="Calibri" w:hAnsi="Calibri" w:cs="Calibri"/>
          <w:color w:val="C00000"/>
          <w:sz w:val="24"/>
          <w:szCs w:val="24"/>
        </w:rPr>
        <w:t>la</w:t>
      </w:r>
      <w:r w:rsidRPr="005473DF">
        <w:rPr>
          <w:rFonts w:ascii="Calibri" w:hAnsi="Calibri" w:cs="Calibri"/>
          <w:color w:val="C00000"/>
          <w:sz w:val="24"/>
          <w:szCs w:val="24"/>
        </w:rPr>
        <w:t xml:space="preserve"> </w:t>
      </w:r>
      <w:r w:rsidRPr="005473DF">
        <w:rPr>
          <w:rFonts w:ascii="Calibri" w:hAnsi="Calibri" w:cs="Calibri"/>
          <w:color w:val="C00000"/>
          <w:sz w:val="24"/>
          <w:szCs w:val="24"/>
        </w:rPr>
        <w:t>toiture est l’un des éléments à rénover et à isoler en priorité</w:t>
      </w:r>
      <w:r>
        <w:rPr>
          <w:rFonts w:ascii="Calibri" w:hAnsi="Calibri" w:cs="Calibri"/>
          <w:sz w:val="24"/>
          <w:szCs w:val="24"/>
        </w:rPr>
        <w:t>. Pour répondre à ce besoin,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 nouvelles solutions de plus en plus efficaces voient le jour. Il est donc important de se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tenir informé de ces nouveautés et de savoir les mettre en </w:t>
      </w:r>
      <w:r w:rsidRPr="00771800">
        <w:rPr>
          <w:rFonts w:cstheme="minorHAnsi"/>
          <w:sz w:val="24"/>
          <w:szCs w:val="24"/>
        </w:rPr>
        <w:t>œuvre</w:t>
      </w:r>
      <w:r>
        <w:rPr>
          <w:rFonts w:ascii="Calibri" w:hAnsi="Calibri" w:cs="Calibri"/>
          <w:sz w:val="24"/>
          <w:szCs w:val="24"/>
        </w:rPr>
        <w:t xml:space="preserve"> de la meilleure des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manières.</w:t>
      </w: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Les toitures-terrasses végétalisées connaissent également un succès grandissant ces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dernières années, notamment depuis la publication de la </w:t>
      </w:r>
      <w:r w:rsidRPr="005F2810">
        <w:rPr>
          <w:rFonts w:ascii="Calibri" w:hAnsi="Calibri" w:cs="Calibri"/>
          <w:color w:val="C00000"/>
          <w:sz w:val="24"/>
          <w:szCs w:val="24"/>
        </w:rPr>
        <w:t xml:space="preserve">loi Climat et Résilience </w:t>
      </w:r>
      <w:r>
        <w:rPr>
          <w:rFonts w:ascii="Calibri" w:hAnsi="Calibri" w:cs="Calibri"/>
          <w:sz w:val="24"/>
          <w:szCs w:val="24"/>
        </w:rPr>
        <w:t>qui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impose désormais une toiture végétale ou solaire pour les nouveaux bâtiments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commerciaux, artisanaux, hangars, entrepôts de plus de 500 m², mais également les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bâtiments abritant des bureaux de plus de 1000 m². En 2024, cette obligation s'étendra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aux parkings de plus de 500 m². </w:t>
      </w:r>
      <w:r w:rsidRPr="005F2810">
        <w:rPr>
          <w:rFonts w:ascii="Calibri" w:hAnsi="Calibri" w:cs="Calibri"/>
          <w:color w:val="C00000"/>
          <w:sz w:val="24"/>
          <w:szCs w:val="24"/>
        </w:rPr>
        <w:t>Se former sur les meilleures techniques de</w:t>
      </w:r>
      <w:r w:rsidRPr="005F2810">
        <w:rPr>
          <w:rFonts w:ascii="Calibri" w:hAnsi="Calibri" w:cs="Calibri"/>
          <w:color w:val="C00000"/>
          <w:sz w:val="24"/>
          <w:szCs w:val="24"/>
        </w:rPr>
        <w:t xml:space="preserve"> </w:t>
      </w:r>
      <w:r w:rsidRPr="005F2810">
        <w:rPr>
          <w:rFonts w:ascii="Calibri" w:hAnsi="Calibri" w:cs="Calibri"/>
          <w:color w:val="C00000"/>
          <w:sz w:val="24"/>
          <w:szCs w:val="24"/>
        </w:rPr>
        <w:t>végétalisation et solarisation des toitures devient donc essentiel</w:t>
      </w:r>
      <w:r>
        <w:rPr>
          <w:rFonts w:ascii="Calibri" w:hAnsi="Calibri" w:cs="Calibri"/>
          <w:sz w:val="24"/>
          <w:szCs w:val="24"/>
        </w:rPr>
        <w:t>.</w:t>
      </w: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BMI Academy, un réseau de centres de formation pour fournir l'expertise technique la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</w:rPr>
        <w:t>plus à jour dans l'industrie de la couverture et de l'étanchéité</w:t>
      </w: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Pour accompagner les professionnels sur ces chantiers de plus en plus exigeants, BMI</w:t>
      </w: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Group dispose de différentes installations en Europe afin d’assister et de former ses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clients à l'utilisation et à l'installation de toutes ses solutions, qu'il s'agisse de systèmes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plats ou inclinés.</w:t>
      </w: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71800" w:rsidRPr="005F281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Regroupés au sein de la BMI Academy, ces centres de formation ont pour objectif de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faire monter en compétence, les apprentis, les compagnons, ainsi que les encadrants de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chantiers, en leur dispensant des </w:t>
      </w:r>
      <w:r w:rsidRPr="005F2810">
        <w:rPr>
          <w:rFonts w:ascii="Calibri" w:hAnsi="Calibri" w:cs="Calibri"/>
          <w:color w:val="C00000"/>
          <w:sz w:val="24"/>
          <w:szCs w:val="24"/>
        </w:rPr>
        <w:t>cours théoriques et pratiques sur les produits et les</w:t>
      </w:r>
      <w:r w:rsidRPr="005F2810">
        <w:rPr>
          <w:rFonts w:ascii="Calibri" w:hAnsi="Calibri" w:cs="Calibri"/>
          <w:color w:val="C00000"/>
          <w:sz w:val="24"/>
          <w:szCs w:val="24"/>
        </w:rPr>
        <w:t xml:space="preserve"> </w:t>
      </w:r>
      <w:r w:rsidRPr="005F2810">
        <w:rPr>
          <w:rFonts w:ascii="Calibri" w:hAnsi="Calibri" w:cs="Calibri"/>
          <w:color w:val="C00000"/>
          <w:sz w:val="24"/>
          <w:szCs w:val="24"/>
        </w:rPr>
        <w:t>métiers liés à l’étanchéité et la couverture.</w:t>
      </w: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En appliquant de meilleures pratiques et en apprenant à tirer le meilleur parti des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solutions qui leur sont proposées, les spécialistes de la toiture </w:t>
      </w:r>
      <w:r w:rsidRPr="006B635C">
        <w:rPr>
          <w:rFonts w:ascii="Calibri" w:hAnsi="Calibri" w:cs="Calibri"/>
          <w:color w:val="C00000"/>
          <w:sz w:val="24"/>
          <w:szCs w:val="24"/>
        </w:rPr>
        <w:t>gagnent du temps et de</w:t>
      </w:r>
      <w:r w:rsidRPr="006B635C">
        <w:rPr>
          <w:rFonts w:ascii="Calibri" w:hAnsi="Calibri" w:cs="Calibri"/>
          <w:color w:val="C00000"/>
          <w:sz w:val="24"/>
          <w:szCs w:val="24"/>
        </w:rPr>
        <w:t xml:space="preserve"> </w:t>
      </w:r>
      <w:r w:rsidRPr="006B635C">
        <w:rPr>
          <w:rFonts w:ascii="Calibri" w:hAnsi="Calibri" w:cs="Calibri"/>
          <w:color w:val="C00000"/>
          <w:sz w:val="24"/>
          <w:szCs w:val="24"/>
        </w:rPr>
        <w:t>l’argent</w:t>
      </w:r>
      <w:r>
        <w:rPr>
          <w:rFonts w:ascii="Calibri" w:hAnsi="Calibri" w:cs="Calibri"/>
          <w:sz w:val="24"/>
          <w:szCs w:val="24"/>
        </w:rPr>
        <w:t>.</w:t>
      </w: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C’est ce qu’explique Eric Zimmer, responsable de la satisfaction client chez BMI : « Grâce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au travail de prescription fourni par nos équipes commerciales, nos solutions sont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plébiscitées par les maîtres d’ouvrage. La BMI Academy permet aux entreprises d’être à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même de répondre à la demande du marché et, en conséquence, de ne louper aucune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opportunité de développement. »</w:t>
      </w: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Une double compétence unique</w:t>
      </w: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Comme le précise Eric Zimmer, la BMI Academy est le seul centre de formation industriel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en France à posséder la </w:t>
      </w:r>
      <w:r w:rsidRPr="006B635C">
        <w:rPr>
          <w:rFonts w:ascii="Calibri" w:hAnsi="Calibri" w:cs="Calibri"/>
          <w:color w:val="C00000"/>
          <w:sz w:val="24"/>
          <w:szCs w:val="24"/>
        </w:rPr>
        <w:t>double compétence toit plat / toit en pente</w:t>
      </w:r>
      <w:r>
        <w:rPr>
          <w:rFonts w:ascii="Calibri" w:hAnsi="Calibri" w:cs="Calibri"/>
          <w:sz w:val="24"/>
          <w:szCs w:val="24"/>
        </w:rPr>
        <w:t>. Avec ses 24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modules de formation segmentés par métier, la BMI Academy permet aux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professionnels de répondre à toutes les demandes de leurs clients.</w:t>
      </w:r>
    </w:p>
    <w:p w:rsidR="00771800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26BB7" w:rsidRDefault="00771800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Eric Zimmer résume : « La BMI Academy permet aux professionnels de développer une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véritable richesse dans leur métier, en leur offrant la possibilité de construire des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passerelles entre leurs différentes activités. Ainsi, des généralistes peuvent venir chez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nous pour se spécialiser et acquérir </w:t>
      </w:r>
      <w:r w:rsidRPr="006B635C">
        <w:rPr>
          <w:rFonts w:ascii="Calibri" w:hAnsi="Calibri" w:cs="Calibri"/>
          <w:color w:val="C00000"/>
          <w:sz w:val="24"/>
          <w:szCs w:val="24"/>
        </w:rPr>
        <w:t>les nouvelles expertises demandées par le marché.</w:t>
      </w:r>
      <w:r w:rsidR="006B635C" w:rsidRPr="006B635C">
        <w:rPr>
          <w:rFonts w:ascii="Calibri" w:hAnsi="Calibri" w:cs="Calibri"/>
          <w:color w:val="C00000"/>
          <w:sz w:val="24"/>
          <w:szCs w:val="24"/>
        </w:rPr>
        <w:t xml:space="preserve"> </w:t>
      </w:r>
      <w:r w:rsidRPr="006B635C">
        <w:rPr>
          <w:rFonts w:ascii="Calibri" w:hAnsi="Calibri" w:cs="Calibri"/>
          <w:color w:val="C00000"/>
          <w:sz w:val="24"/>
          <w:szCs w:val="24"/>
        </w:rPr>
        <w:t>Le sarking</w:t>
      </w:r>
      <w:r>
        <w:rPr>
          <w:rFonts w:ascii="Calibri" w:hAnsi="Calibri" w:cs="Calibri"/>
          <w:sz w:val="24"/>
          <w:szCs w:val="24"/>
        </w:rPr>
        <w:t>, qui connaît un fort développement actuellement en raison de la progression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 l’isolation par le toit, en est un excellent exemple ! »</w:t>
      </w:r>
    </w:p>
    <w:p w:rsidR="001525FB" w:rsidRDefault="001525FB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B635C" w:rsidRDefault="006B635C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B635C" w:rsidRDefault="001525FB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7F6DF1A7" wp14:editId="7DE9F0A0">
            <wp:extent cx="5760720" cy="3759939"/>
            <wp:effectExtent l="0" t="0" r="0" b="0"/>
            <wp:docPr id="2" name="Image 2" descr="encart-bmi-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cart-bmi-academ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5FB" w:rsidRDefault="001525FB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525FB" w:rsidRPr="00771800" w:rsidRDefault="00BB6121" w:rsidP="00771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hyperlink r:id="rId5" w:history="1">
        <w:r w:rsidRPr="0021112F">
          <w:rPr>
            <w:rStyle w:val="Lienhypertexte"/>
            <w:rFonts w:ascii="Calibri" w:hAnsi="Calibri" w:cs="Calibri"/>
            <w:sz w:val="24"/>
            <w:szCs w:val="24"/>
          </w:rPr>
          <w:t>https://www.bmigroup.com/fr/vous-former-bmi-academy/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sectPr w:rsidR="001525FB" w:rsidRPr="00771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00"/>
    <w:rsid w:val="00026BB7"/>
    <w:rsid w:val="001525FB"/>
    <w:rsid w:val="005473DF"/>
    <w:rsid w:val="005F2810"/>
    <w:rsid w:val="006B635C"/>
    <w:rsid w:val="00771800"/>
    <w:rsid w:val="00812EAE"/>
    <w:rsid w:val="00BB6121"/>
    <w:rsid w:val="00E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714443"/>
  <w15:chartTrackingRefBased/>
  <w15:docId w15:val="{4C3C6EE3-6D34-46CB-AE67-1B19B8A2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1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61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migroup.com/fr/vous-former-bmi-academy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Ophélie DE VOS</dc:creator>
  <cp:keywords/>
  <dc:description/>
  <cp:lastModifiedBy>Ophélie DE VOS</cp:lastModifiedBy>
  <cp:revision>2</cp:revision>
  <dcterms:created xsi:type="dcterms:W3CDTF">2024-02-12T16:28:00Z</dcterms:created>
  <dcterms:modified xsi:type="dcterms:W3CDTF">2024-02-12T16:37:00Z</dcterms:modified>
</cp:coreProperties>
</file>